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F1E90" w14:textId="77777777" w:rsidR="0062135B" w:rsidRPr="00003F98" w:rsidRDefault="0062135B" w:rsidP="0062135B">
      <w:pPr>
        <w:suppressAutoHyphens/>
        <w:jc w:val="center"/>
        <w:rPr>
          <w:b/>
          <w:sz w:val="22"/>
          <w:szCs w:val="22"/>
        </w:rPr>
      </w:pPr>
      <w:r w:rsidRPr="00003F98">
        <w:rPr>
          <w:b/>
          <w:sz w:val="22"/>
          <w:szCs w:val="22"/>
        </w:rPr>
        <w:t>Foglio illustrativo</w:t>
      </w:r>
      <w:r w:rsidRPr="00003F98">
        <w:rPr>
          <w:b/>
          <w:noProof/>
          <w:sz w:val="22"/>
          <w:szCs w:val="22"/>
        </w:rPr>
        <w:t>: informazioni per l’utilizzatore</w:t>
      </w:r>
    </w:p>
    <w:p w14:paraId="09044B77" w14:textId="77777777" w:rsidR="0062135B" w:rsidRPr="00003F98" w:rsidRDefault="0062135B" w:rsidP="0062135B">
      <w:pPr>
        <w:rPr>
          <w:sz w:val="22"/>
          <w:szCs w:val="22"/>
        </w:rPr>
      </w:pPr>
    </w:p>
    <w:p w14:paraId="04CFBCD8" w14:textId="77777777" w:rsidR="0062135B" w:rsidRPr="00003F98" w:rsidRDefault="0062135B" w:rsidP="0062135B">
      <w:pPr>
        <w:widowControl w:val="0"/>
        <w:jc w:val="center"/>
        <w:rPr>
          <w:b/>
          <w:sz w:val="22"/>
          <w:szCs w:val="22"/>
        </w:rPr>
      </w:pPr>
      <w:r w:rsidRPr="00003F98">
        <w:rPr>
          <w:b/>
          <w:sz w:val="22"/>
          <w:szCs w:val="22"/>
        </w:rPr>
        <w:t>TANTUM VERDE GOLA 250mg/100ml collutorio</w:t>
      </w:r>
    </w:p>
    <w:p w14:paraId="308C6F2E" w14:textId="77777777" w:rsidR="0062135B" w:rsidRPr="00003F98" w:rsidRDefault="0062135B" w:rsidP="0062135B">
      <w:pPr>
        <w:widowControl w:val="0"/>
        <w:jc w:val="center"/>
        <w:rPr>
          <w:sz w:val="22"/>
          <w:szCs w:val="22"/>
        </w:rPr>
      </w:pPr>
      <w:proofErr w:type="spellStart"/>
      <w:r w:rsidRPr="00003F98">
        <w:rPr>
          <w:sz w:val="22"/>
          <w:szCs w:val="22"/>
        </w:rPr>
        <w:t>Flurbiprofene</w:t>
      </w:r>
      <w:proofErr w:type="spellEnd"/>
    </w:p>
    <w:p w14:paraId="169200D8" w14:textId="77777777" w:rsidR="0062135B" w:rsidRPr="00003F98" w:rsidRDefault="0062135B" w:rsidP="0062135B">
      <w:pPr>
        <w:widowControl w:val="0"/>
        <w:jc w:val="both"/>
        <w:rPr>
          <w:caps/>
          <w:sz w:val="22"/>
          <w:szCs w:val="22"/>
        </w:rPr>
      </w:pPr>
    </w:p>
    <w:p w14:paraId="7A371CBB" w14:textId="77777777" w:rsidR="0062135B" w:rsidRPr="00003F98" w:rsidRDefault="0062135B" w:rsidP="0062135B">
      <w:pPr>
        <w:widowControl w:val="0"/>
        <w:jc w:val="both"/>
        <w:rPr>
          <w:caps/>
          <w:sz w:val="22"/>
          <w:szCs w:val="22"/>
        </w:rPr>
      </w:pPr>
    </w:p>
    <w:p w14:paraId="2F562FF7" w14:textId="77777777" w:rsidR="0062135B" w:rsidRPr="00003F98" w:rsidRDefault="0062135B" w:rsidP="0062135B">
      <w:pPr>
        <w:suppressAutoHyphens/>
        <w:rPr>
          <w:noProof/>
          <w:sz w:val="22"/>
          <w:szCs w:val="22"/>
        </w:rPr>
      </w:pPr>
      <w:r w:rsidRPr="00003F98">
        <w:rPr>
          <w:b/>
          <w:noProof/>
          <w:sz w:val="22"/>
          <w:szCs w:val="22"/>
        </w:rPr>
        <w:t xml:space="preserve">Legga attentamente questo foglio prima di </w:t>
      </w:r>
      <w:r>
        <w:rPr>
          <w:b/>
          <w:noProof/>
          <w:sz w:val="22"/>
          <w:szCs w:val="22"/>
        </w:rPr>
        <w:t>usare</w:t>
      </w:r>
      <w:r w:rsidRPr="00003F98">
        <w:rPr>
          <w:b/>
          <w:noProof/>
          <w:sz w:val="22"/>
          <w:szCs w:val="22"/>
        </w:rPr>
        <w:t xml:space="preserve"> questo medicinale perché</w:t>
      </w:r>
      <w:r w:rsidRPr="00003F98">
        <w:rPr>
          <w:b/>
          <w:sz w:val="22"/>
          <w:szCs w:val="22"/>
        </w:rPr>
        <w:t xml:space="preserve"> </w:t>
      </w:r>
      <w:r w:rsidRPr="00003F98">
        <w:rPr>
          <w:b/>
          <w:noProof/>
          <w:sz w:val="22"/>
          <w:szCs w:val="22"/>
        </w:rPr>
        <w:t>contiene importanti informazioni per lei.</w:t>
      </w:r>
    </w:p>
    <w:p w14:paraId="187ADE4A" w14:textId="77777777" w:rsidR="0062135B" w:rsidRPr="00003F98" w:rsidRDefault="0062135B" w:rsidP="0062135B">
      <w:pPr>
        <w:suppressAutoHyphens/>
        <w:rPr>
          <w:noProof/>
          <w:sz w:val="22"/>
          <w:szCs w:val="22"/>
        </w:rPr>
      </w:pPr>
      <w:r>
        <w:rPr>
          <w:noProof/>
          <w:sz w:val="22"/>
          <w:szCs w:val="22"/>
        </w:rPr>
        <w:t>Usi</w:t>
      </w:r>
      <w:r w:rsidRPr="00003F98">
        <w:rPr>
          <w:noProof/>
          <w:sz w:val="22"/>
          <w:szCs w:val="22"/>
        </w:rPr>
        <w:t xml:space="preserve"> questo medicinale sempre come esattamente descritto in questo foglio o come il medico o farmacista le ha detto di fare.</w:t>
      </w:r>
    </w:p>
    <w:p w14:paraId="3CAE8244" w14:textId="77777777" w:rsidR="0062135B" w:rsidRPr="00003F98" w:rsidRDefault="0062135B" w:rsidP="0062135B">
      <w:pPr>
        <w:tabs>
          <w:tab w:val="left" w:pos="426"/>
        </w:tabs>
        <w:suppressAutoHyphens/>
        <w:rPr>
          <w:noProof/>
          <w:sz w:val="22"/>
          <w:szCs w:val="22"/>
        </w:rPr>
      </w:pPr>
      <w:r w:rsidRPr="00003F98">
        <w:rPr>
          <w:noProof/>
          <w:sz w:val="22"/>
          <w:szCs w:val="22"/>
        </w:rPr>
        <w:t>-</w:t>
      </w:r>
      <w:r w:rsidRPr="00003F98">
        <w:rPr>
          <w:noProof/>
          <w:sz w:val="22"/>
          <w:szCs w:val="22"/>
        </w:rPr>
        <w:tab/>
        <w:t>Conservi questo foglio. Potrebbe aver bisogno di leggerlo di nuovo.</w:t>
      </w:r>
    </w:p>
    <w:p w14:paraId="0DC84C30" w14:textId="77777777" w:rsidR="0062135B" w:rsidRPr="00003F98" w:rsidRDefault="0062135B" w:rsidP="0062135B">
      <w:pPr>
        <w:suppressAutoHyphens/>
        <w:ind w:left="426" w:hanging="426"/>
        <w:rPr>
          <w:noProof/>
          <w:sz w:val="22"/>
          <w:szCs w:val="22"/>
        </w:rPr>
      </w:pPr>
      <w:r w:rsidRPr="00003F98">
        <w:rPr>
          <w:noProof/>
          <w:sz w:val="22"/>
          <w:szCs w:val="22"/>
        </w:rPr>
        <w:t>-</w:t>
      </w:r>
      <w:r w:rsidRPr="00003F98">
        <w:rPr>
          <w:noProof/>
          <w:sz w:val="22"/>
          <w:szCs w:val="22"/>
        </w:rPr>
        <w:tab/>
        <w:t>Se desidera maggiori informazioni o consigli, si rivolga al farmacista.</w:t>
      </w:r>
    </w:p>
    <w:p w14:paraId="581F8CFA" w14:textId="77777777" w:rsidR="0062135B" w:rsidRPr="00003F98" w:rsidRDefault="0062135B" w:rsidP="0062135B">
      <w:pPr>
        <w:suppressAutoHyphens/>
        <w:ind w:left="426" w:hanging="426"/>
        <w:rPr>
          <w:sz w:val="22"/>
          <w:szCs w:val="22"/>
        </w:rPr>
      </w:pPr>
      <w:r w:rsidRPr="00003F98">
        <w:rPr>
          <w:noProof/>
          <w:sz w:val="22"/>
          <w:szCs w:val="22"/>
        </w:rPr>
        <w:t>-</w:t>
      </w:r>
      <w:r w:rsidRPr="00003F98">
        <w:rPr>
          <w:noProof/>
          <w:sz w:val="22"/>
          <w:szCs w:val="22"/>
        </w:rPr>
        <w:tab/>
      </w:r>
      <w:r w:rsidRPr="00003F98">
        <w:rPr>
          <w:sz w:val="22"/>
          <w:szCs w:val="22"/>
        </w:rPr>
        <w:t xml:space="preserve">Se </w:t>
      </w:r>
      <w:r w:rsidRPr="00003F98">
        <w:rPr>
          <w:noProof/>
          <w:sz w:val="22"/>
          <w:szCs w:val="22"/>
        </w:rPr>
        <w:t>si manifesta</w:t>
      </w:r>
      <w:r w:rsidRPr="00003F98">
        <w:rPr>
          <w:sz w:val="22"/>
          <w:szCs w:val="22"/>
        </w:rPr>
        <w:t xml:space="preserve"> uno qualsiasi degli effetti indesiderati</w:t>
      </w:r>
      <w:r w:rsidRPr="00003F98">
        <w:rPr>
          <w:noProof/>
          <w:sz w:val="22"/>
          <w:szCs w:val="22"/>
        </w:rPr>
        <w:t>, tra cui effetti non elencati</w:t>
      </w:r>
      <w:r w:rsidRPr="00003F98">
        <w:rPr>
          <w:sz w:val="22"/>
          <w:szCs w:val="22"/>
        </w:rPr>
        <w:t xml:space="preserve"> in questo foglio, </w:t>
      </w:r>
      <w:r w:rsidRPr="00003F98">
        <w:rPr>
          <w:noProof/>
          <w:sz w:val="22"/>
          <w:szCs w:val="22"/>
        </w:rPr>
        <w:t>si rivolga al</w:t>
      </w:r>
      <w:r w:rsidRPr="00003F98">
        <w:rPr>
          <w:sz w:val="22"/>
          <w:szCs w:val="22"/>
        </w:rPr>
        <w:t xml:space="preserve"> medico</w:t>
      </w:r>
      <w:r w:rsidRPr="00003F98">
        <w:rPr>
          <w:noProof/>
          <w:sz w:val="22"/>
          <w:szCs w:val="22"/>
        </w:rPr>
        <w:t xml:space="preserve"> </w:t>
      </w:r>
      <w:r w:rsidRPr="00003F98">
        <w:rPr>
          <w:sz w:val="22"/>
          <w:szCs w:val="22"/>
        </w:rPr>
        <w:t xml:space="preserve">o </w:t>
      </w:r>
      <w:r w:rsidRPr="00003F98">
        <w:rPr>
          <w:noProof/>
          <w:sz w:val="22"/>
          <w:szCs w:val="22"/>
        </w:rPr>
        <w:t>al</w:t>
      </w:r>
      <w:r w:rsidRPr="00003F98">
        <w:rPr>
          <w:sz w:val="22"/>
          <w:szCs w:val="22"/>
        </w:rPr>
        <w:t xml:space="preserve"> farmacista</w:t>
      </w:r>
      <w:r w:rsidRPr="00003F98">
        <w:rPr>
          <w:noProof/>
          <w:sz w:val="22"/>
          <w:szCs w:val="22"/>
        </w:rPr>
        <w:t xml:space="preserve">. </w:t>
      </w:r>
      <w:r w:rsidRPr="00003F98">
        <w:rPr>
          <w:sz w:val="22"/>
          <w:szCs w:val="22"/>
        </w:rPr>
        <w:t>Vedere paragrafo 4</w:t>
      </w:r>
      <w:r w:rsidRPr="00003F98">
        <w:rPr>
          <w:noProof/>
          <w:sz w:val="22"/>
          <w:szCs w:val="22"/>
        </w:rPr>
        <w:t>.</w:t>
      </w:r>
    </w:p>
    <w:p w14:paraId="4D702DDC" w14:textId="77777777" w:rsidR="0062135B" w:rsidRPr="00003F98" w:rsidRDefault="0062135B" w:rsidP="0062135B">
      <w:pPr>
        <w:numPr>
          <w:ilvl w:val="0"/>
          <w:numId w:val="1"/>
        </w:numPr>
        <w:ind w:left="426" w:hanging="426"/>
        <w:rPr>
          <w:noProof/>
          <w:sz w:val="22"/>
          <w:szCs w:val="22"/>
          <w:shd w:val="pct15" w:color="auto" w:fill="FFFFFF"/>
        </w:rPr>
      </w:pPr>
      <w:r w:rsidRPr="00003F98">
        <w:rPr>
          <w:noProof/>
          <w:sz w:val="22"/>
          <w:szCs w:val="22"/>
        </w:rPr>
        <w:t>Si rivolga al medico se non nota miglioramenti o se nota un peggioramento dei sintomi.</w:t>
      </w:r>
      <w:r w:rsidRPr="00003F98">
        <w:rPr>
          <w:noProof/>
          <w:sz w:val="22"/>
          <w:szCs w:val="22"/>
          <w:shd w:val="pct15" w:color="auto" w:fill="FFFFFF"/>
        </w:rPr>
        <w:t xml:space="preserve"> </w:t>
      </w:r>
    </w:p>
    <w:p w14:paraId="639C1EFF" w14:textId="77777777" w:rsidR="0062135B" w:rsidRPr="00003F98" w:rsidRDefault="0062135B" w:rsidP="0062135B">
      <w:pPr>
        <w:suppressAutoHyphens/>
        <w:jc w:val="both"/>
        <w:rPr>
          <w:b/>
          <w:noProof/>
          <w:sz w:val="22"/>
          <w:szCs w:val="22"/>
        </w:rPr>
      </w:pPr>
    </w:p>
    <w:p w14:paraId="775E00D0" w14:textId="77777777" w:rsidR="0062135B" w:rsidRPr="00003F98" w:rsidRDefault="0062135B" w:rsidP="0062135B">
      <w:pPr>
        <w:suppressAutoHyphens/>
        <w:ind w:left="567" w:hanging="567"/>
        <w:rPr>
          <w:noProof/>
          <w:sz w:val="22"/>
          <w:szCs w:val="22"/>
        </w:rPr>
      </w:pPr>
    </w:p>
    <w:p w14:paraId="6C522625" w14:textId="77777777" w:rsidR="0062135B" w:rsidRPr="00003F98" w:rsidRDefault="0062135B" w:rsidP="0062135B">
      <w:pPr>
        <w:suppressAutoHyphens/>
        <w:rPr>
          <w:b/>
          <w:noProof/>
          <w:sz w:val="22"/>
          <w:szCs w:val="22"/>
        </w:rPr>
      </w:pPr>
      <w:r w:rsidRPr="00003F98">
        <w:rPr>
          <w:b/>
          <w:noProof/>
          <w:sz w:val="22"/>
          <w:szCs w:val="22"/>
        </w:rPr>
        <w:t>Contenuto di questo foglio:</w:t>
      </w:r>
    </w:p>
    <w:p w14:paraId="268E3994" w14:textId="77777777" w:rsidR="0062135B" w:rsidRPr="00003F98" w:rsidRDefault="0062135B" w:rsidP="0062135B">
      <w:pPr>
        <w:suppressAutoHyphens/>
        <w:ind w:left="426" w:hanging="426"/>
        <w:rPr>
          <w:noProof/>
          <w:sz w:val="22"/>
          <w:szCs w:val="22"/>
        </w:rPr>
      </w:pPr>
      <w:r w:rsidRPr="00003F98">
        <w:rPr>
          <w:noProof/>
          <w:sz w:val="22"/>
          <w:szCs w:val="22"/>
        </w:rPr>
        <w:t>1.</w:t>
      </w:r>
      <w:r w:rsidRPr="00003F98">
        <w:rPr>
          <w:noProof/>
          <w:sz w:val="22"/>
          <w:szCs w:val="22"/>
        </w:rPr>
        <w:tab/>
      </w:r>
      <w:r>
        <w:rPr>
          <w:noProof/>
          <w:sz w:val="22"/>
          <w:szCs w:val="22"/>
        </w:rPr>
        <w:t>C</w:t>
      </w:r>
      <w:r w:rsidRPr="00003F98">
        <w:rPr>
          <w:noProof/>
          <w:sz w:val="22"/>
          <w:szCs w:val="22"/>
        </w:rPr>
        <w:t xml:space="preserve">os’è </w:t>
      </w:r>
      <w:r w:rsidRPr="00003F98">
        <w:rPr>
          <w:sz w:val="22"/>
          <w:szCs w:val="22"/>
        </w:rPr>
        <w:t>Tantum Verde</w:t>
      </w:r>
      <w:r w:rsidRPr="00003F98">
        <w:rPr>
          <w:noProof/>
          <w:sz w:val="22"/>
          <w:szCs w:val="22"/>
        </w:rPr>
        <w:t xml:space="preserve"> Gola e a cosa serve</w:t>
      </w:r>
    </w:p>
    <w:p w14:paraId="3943980A" w14:textId="77777777" w:rsidR="0062135B" w:rsidRPr="00003F98" w:rsidRDefault="0062135B" w:rsidP="0062135B">
      <w:pPr>
        <w:suppressAutoHyphens/>
        <w:ind w:left="426" w:hanging="426"/>
        <w:rPr>
          <w:noProof/>
          <w:sz w:val="22"/>
          <w:szCs w:val="22"/>
        </w:rPr>
      </w:pPr>
      <w:r w:rsidRPr="00003F98">
        <w:rPr>
          <w:noProof/>
          <w:sz w:val="22"/>
          <w:szCs w:val="22"/>
        </w:rPr>
        <w:t>2.</w:t>
      </w:r>
      <w:r w:rsidRPr="00003F98">
        <w:rPr>
          <w:noProof/>
          <w:sz w:val="22"/>
          <w:szCs w:val="22"/>
        </w:rPr>
        <w:tab/>
        <w:t>Cosa deve sapere prima</w:t>
      </w:r>
      <w:r w:rsidRPr="00003F98">
        <w:rPr>
          <w:sz w:val="22"/>
          <w:szCs w:val="22"/>
        </w:rPr>
        <w:t xml:space="preserve"> </w:t>
      </w:r>
      <w:r w:rsidRPr="00003F98">
        <w:rPr>
          <w:noProof/>
          <w:sz w:val="22"/>
          <w:szCs w:val="22"/>
        </w:rPr>
        <w:t xml:space="preserve">di </w:t>
      </w:r>
      <w:r>
        <w:rPr>
          <w:noProof/>
          <w:sz w:val="22"/>
          <w:szCs w:val="22"/>
        </w:rPr>
        <w:t>usare</w:t>
      </w:r>
      <w:r w:rsidRPr="00003F98">
        <w:rPr>
          <w:noProof/>
          <w:sz w:val="22"/>
          <w:szCs w:val="22"/>
        </w:rPr>
        <w:t xml:space="preserve"> </w:t>
      </w:r>
      <w:r w:rsidRPr="00003F98">
        <w:rPr>
          <w:sz w:val="22"/>
          <w:szCs w:val="22"/>
        </w:rPr>
        <w:t>Tantum Verde</w:t>
      </w:r>
      <w:r w:rsidRPr="00003F98">
        <w:rPr>
          <w:noProof/>
          <w:sz w:val="22"/>
          <w:szCs w:val="22"/>
        </w:rPr>
        <w:t xml:space="preserve"> Gola</w:t>
      </w:r>
    </w:p>
    <w:p w14:paraId="712C9717" w14:textId="77777777" w:rsidR="0062135B" w:rsidRPr="00003F98" w:rsidRDefault="0062135B" w:rsidP="0062135B">
      <w:pPr>
        <w:suppressAutoHyphens/>
        <w:ind w:left="426" w:hanging="426"/>
        <w:rPr>
          <w:noProof/>
          <w:sz w:val="22"/>
          <w:szCs w:val="22"/>
        </w:rPr>
      </w:pPr>
      <w:r w:rsidRPr="00003F98">
        <w:rPr>
          <w:noProof/>
          <w:sz w:val="22"/>
          <w:szCs w:val="22"/>
        </w:rPr>
        <w:t>3.</w:t>
      </w:r>
      <w:r w:rsidRPr="00003F98">
        <w:rPr>
          <w:noProof/>
          <w:sz w:val="22"/>
          <w:szCs w:val="22"/>
        </w:rPr>
        <w:tab/>
        <w:t xml:space="preserve">Come </w:t>
      </w:r>
      <w:r>
        <w:rPr>
          <w:noProof/>
          <w:sz w:val="22"/>
          <w:szCs w:val="22"/>
        </w:rPr>
        <w:t>usare</w:t>
      </w:r>
      <w:r w:rsidRPr="00003F98">
        <w:rPr>
          <w:noProof/>
          <w:sz w:val="22"/>
          <w:szCs w:val="22"/>
        </w:rPr>
        <w:t xml:space="preserve"> </w:t>
      </w:r>
      <w:r w:rsidRPr="00003F98">
        <w:rPr>
          <w:sz w:val="22"/>
          <w:szCs w:val="22"/>
        </w:rPr>
        <w:t>Tantum Verde</w:t>
      </w:r>
      <w:r w:rsidRPr="00003F98">
        <w:rPr>
          <w:noProof/>
          <w:sz w:val="22"/>
          <w:szCs w:val="22"/>
        </w:rPr>
        <w:t xml:space="preserve"> Gola</w:t>
      </w:r>
    </w:p>
    <w:p w14:paraId="56AD36EE" w14:textId="77777777" w:rsidR="0062135B" w:rsidRPr="00003F98" w:rsidRDefault="0062135B" w:rsidP="0062135B">
      <w:pPr>
        <w:suppressAutoHyphens/>
        <w:ind w:left="426" w:hanging="426"/>
        <w:rPr>
          <w:noProof/>
          <w:sz w:val="22"/>
          <w:szCs w:val="22"/>
        </w:rPr>
      </w:pPr>
      <w:r w:rsidRPr="00003F98">
        <w:rPr>
          <w:noProof/>
          <w:sz w:val="22"/>
          <w:szCs w:val="22"/>
        </w:rPr>
        <w:t>4.</w:t>
      </w:r>
      <w:r w:rsidRPr="00003F98">
        <w:rPr>
          <w:noProof/>
          <w:sz w:val="22"/>
          <w:szCs w:val="22"/>
        </w:rPr>
        <w:tab/>
        <w:t>Possibili effetti indesiderati</w:t>
      </w:r>
    </w:p>
    <w:p w14:paraId="4E211FC0" w14:textId="77777777" w:rsidR="0062135B" w:rsidRPr="00003F98" w:rsidRDefault="0062135B" w:rsidP="0062135B">
      <w:pPr>
        <w:suppressAutoHyphens/>
        <w:ind w:left="426" w:hanging="426"/>
        <w:rPr>
          <w:noProof/>
          <w:sz w:val="22"/>
          <w:szCs w:val="22"/>
        </w:rPr>
      </w:pPr>
      <w:r w:rsidRPr="00003F98">
        <w:rPr>
          <w:noProof/>
          <w:sz w:val="22"/>
          <w:szCs w:val="22"/>
        </w:rPr>
        <w:t>5.</w:t>
      </w:r>
      <w:r w:rsidRPr="00003F98">
        <w:rPr>
          <w:noProof/>
          <w:sz w:val="22"/>
          <w:szCs w:val="22"/>
        </w:rPr>
        <w:tab/>
        <w:t xml:space="preserve">Come conservare </w:t>
      </w:r>
      <w:r w:rsidRPr="00003F98">
        <w:rPr>
          <w:sz w:val="22"/>
          <w:szCs w:val="22"/>
        </w:rPr>
        <w:t>Tantum Verde</w:t>
      </w:r>
      <w:r w:rsidRPr="00003F98">
        <w:rPr>
          <w:noProof/>
          <w:sz w:val="22"/>
          <w:szCs w:val="22"/>
        </w:rPr>
        <w:t xml:space="preserve"> Gola </w:t>
      </w:r>
    </w:p>
    <w:p w14:paraId="67CBFA0A" w14:textId="77777777" w:rsidR="0062135B" w:rsidRPr="00003F98" w:rsidRDefault="0062135B" w:rsidP="0062135B">
      <w:pPr>
        <w:suppressAutoHyphens/>
        <w:ind w:left="426" w:hanging="426"/>
        <w:rPr>
          <w:noProof/>
          <w:sz w:val="22"/>
          <w:szCs w:val="22"/>
        </w:rPr>
      </w:pPr>
      <w:r w:rsidRPr="00003F98">
        <w:rPr>
          <w:noProof/>
          <w:sz w:val="22"/>
          <w:szCs w:val="22"/>
        </w:rPr>
        <w:t>6.</w:t>
      </w:r>
      <w:r w:rsidRPr="00003F98">
        <w:rPr>
          <w:noProof/>
          <w:sz w:val="22"/>
          <w:szCs w:val="22"/>
        </w:rPr>
        <w:tab/>
        <w:t>Contenuto della confezione e altre</w:t>
      </w:r>
      <w:r w:rsidRPr="00003F98">
        <w:rPr>
          <w:sz w:val="22"/>
          <w:szCs w:val="22"/>
        </w:rPr>
        <w:t xml:space="preserve"> </w:t>
      </w:r>
      <w:r w:rsidRPr="00003F98">
        <w:rPr>
          <w:noProof/>
          <w:sz w:val="22"/>
          <w:szCs w:val="22"/>
        </w:rPr>
        <w:t>informazioni</w:t>
      </w:r>
    </w:p>
    <w:p w14:paraId="1744440D" w14:textId="77777777" w:rsidR="0062135B" w:rsidRPr="00003F98" w:rsidRDefault="0062135B" w:rsidP="0062135B">
      <w:pPr>
        <w:suppressAutoHyphens/>
        <w:ind w:left="567" w:hanging="567"/>
        <w:rPr>
          <w:noProof/>
          <w:sz w:val="22"/>
          <w:szCs w:val="22"/>
        </w:rPr>
      </w:pPr>
    </w:p>
    <w:p w14:paraId="30F36836" w14:textId="77777777" w:rsidR="0062135B" w:rsidRPr="00003F98" w:rsidRDefault="0062135B" w:rsidP="0062135B">
      <w:pPr>
        <w:suppressAutoHyphens/>
        <w:ind w:left="567" w:hanging="567"/>
        <w:rPr>
          <w:noProof/>
          <w:sz w:val="22"/>
          <w:szCs w:val="22"/>
        </w:rPr>
      </w:pPr>
    </w:p>
    <w:p w14:paraId="04F1B005" w14:textId="77777777" w:rsidR="0062135B" w:rsidRPr="00003F98" w:rsidRDefault="0062135B" w:rsidP="0062135B">
      <w:pPr>
        <w:tabs>
          <w:tab w:val="left" w:pos="426"/>
        </w:tabs>
        <w:rPr>
          <w:sz w:val="22"/>
          <w:szCs w:val="22"/>
        </w:rPr>
      </w:pPr>
      <w:r w:rsidRPr="00003F98">
        <w:rPr>
          <w:b/>
          <w:noProof/>
          <w:sz w:val="22"/>
          <w:szCs w:val="22"/>
        </w:rPr>
        <w:t>1.</w:t>
      </w:r>
      <w:r w:rsidRPr="00003F98">
        <w:rPr>
          <w:b/>
          <w:noProof/>
          <w:sz w:val="22"/>
          <w:szCs w:val="22"/>
        </w:rPr>
        <w:tab/>
      </w:r>
      <w:r>
        <w:rPr>
          <w:b/>
          <w:sz w:val="22"/>
          <w:szCs w:val="22"/>
        </w:rPr>
        <w:t>C</w:t>
      </w:r>
      <w:r w:rsidRPr="00003F98">
        <w:rPr>
          <w:b/>
          <w:sz w:val="22"/>
          <w:szCs w:val="22"/>
        </w:rPr>
        <w:t>osa è</w:t>
      </w:r>
      <w:r w:rsidRPr="00003F98">
        <w:rPr>
          <w:b/>
          <w:noProof/>
          <w:sz w:val="22"/>
          <w:szCs w:val="22"/>
        </w:rPr>
        <w:t xml:space="preserve"> </w:t>
      </w:r>
      <w:r w:rsidRPr="00003F98">
        <w:rPr>
          <w:b/>
          <w:sz w:val="22"/>
          <w:szCs w:val="22"/>
        </w:rPr>
        <w:t>Tantum Verde</w:t>
      </w:r>
      <w:r w:rsidRPr="00003F98">
        <w:rPr>
          <w:b/>
          <w:noProof/>
          <w:sz w:val="22"/>
          <w:szCs w:val="22"/>
        </w:rPr>
        <w:t xml:space="preserve"> Gola e a cosa serve</w:t>
      </w:r>
    </w:p>
    <w:p w14:paraId="46FA5F79" w14:textId="77777777" w:rsidR="0062135B" w:rsidRPr="007B23AF" w:rsidRDefault="0062135B" w:rsidP="0062135B">
      <w:pPr>
        <w:widowControl w:val="0"/>
        <w:tabs>
          <w:tab w:val="left" w:pos="0"/>
        </w:tabs>
        <w:rPr>
          <w:sz w:val="22"/>
          <w:szCs w:val="22"/>
        </w:rPr>
      </w:pPr>
      <w:r w:rsidRPr="007B23AF">
        <w:rPr>
          <w:sz w:val="22"/>
          <w:szCs w:val="22"/>
        </w:rPr>
        <w:t xml:space="preserve">Tantum Verde Gola contiene </w:t>
      </w:r>
      <w:proofErr w:type="spellStart"/>
      <w:r w:rsidRPr="007B23AF">
        <w:rPr>
          <w:sz w:val="22"/>
          <w:szCs w:val="22"/>
        </w:rPr>
        <w:t>flurbiprofene</w:t>
      </w:r>
      <w:proofErr w:type="spellEnd"/>
      <w:r w:rsidRPr="007B23AF">
        <w:rPr>
          <w:sz w:val="22"/>
          <w:szCs w:val="22"/>
        </w:rPr>
        <w:t xml:space="preserve"> ed appartiene ad un gruppo di medicinali chiamati farmaci antinfiammatori non</w:t>
      </w:r>
      <w:r>
        <w:rPr>
          <w:sz w:val="22"/>
          <w:szCs w:val="22"/>
        </w:rPr>
        <w:t>-</w:t>
      </w:r>
      <w:r w:rsidRPr="007B23AF">
        <w:rPr>
          <w:sz w:val="22"/>
          <w:szCs w:val="22"/>
        </w:rPr>
        <w:t>steroidei (FANS), utilizzati per alleviare il dolore, l’arrossamento, il calore ed il gonfiore</w:t>
      </w:r>
      <w:r>
        <w:rPr>
          <w:sz w:val="22"/>
          <w:szCs w:val="22"/>
        </w:rPr>
        <w:t xml:space="preserve"> </w:t>
      </w:r>
      <w:r w:rsidRPr="007B23AF">
        <w:rPr>
          <w:sz w:val="22"/>
          <w:szCs w:val="22"/>
        </w:rPr>
        <w:t xml:space="preserve">dovuti all’infiammazione. </w:t>
      </w:r>
    </w:p>
    <w:p w14:paraId="0E2D6C84" w14:textId="77777777" w:rsidR="0062135B" w:rsidRPr="00D87FDC" w:rsidRDefault="0062135B" w:rsidP="0062135B">
      <w:pPr>
        <w:widowControl w:val="0"/>
        <w:rPr>
          <w:sz w:val="22"/>
          <w:szCs w:val="22"/>
        </w:rPr>
      </w:pPr>
      <w:r w:rsidRPr="007B23AF">
        <w:rPr>
          <w:sz w:val="22"/>
          <w:szCs w:val="22"/>
        </w:rPr>
        <w:t xml:space="preserve">Tantum Verde Gola è utilizzato per ridurre il bruciore, l’arrossamento, il dolore e l’infiammazione della bocca e della gola, dovuti ad esempio a: </w:t>
      </w:r>
    </w:p>
    <w:p w14:paraId="7FA8C955" w14:textId="77777777" w:rsidR="0062135B" w:rsidRPr="00884B33" w:rsidRDefault="0062135B" w:rsidP="0062135B">
      <w:pPr>
        <w:pStyle w:val="Paragrafoelenco"/>
        <w:widowControl w:val="0"/>
        <w:numPr>
          <w:ilvl w:val="0"/>
          <w:numId w:val="20"/>
        </w:numPr>
      </w:pPr>
      <w:r w:rsidRPr="00D87FDC">
        <w:rPr>
          <w:rFonts w:ascii="Times New Roman" w:hAnsi="Times New Roman" w:cs="Times New Roman"/>
        </w:rPr>
        <w:t>gengiviti;</w:t>
      </w:r>
    </w:p>
    <w:p w14:paraId="0940C9BA" w14:textId="77777777" w:rsidR="0062135B" w:rsidRPr="00884B33" w:rsidRDefault="0062135B" w:rsidP="0062135B">
      <w:pPr>
        <w:pStyle w:val="Paragrafoelenco"/>
        <w:widowControl w:val="0"/>
        <w:numPr>
          <w:ilvl w:val="0"/>
          <w:numId w:val="20"/>
        </w:numPr>
      </w:pPr>
      <w:r w:rsidRPr="00D87FDC">
        <w:rPr>
          <w:rFonts w:ascii="Times New Roman" w:hAnsi="Times New Roman" w:cs="Times New Roman"/>
        </w:rPr>
        <w:t>stomatiti;</w:t>
      </w:r>
    </w:p>
    <w:p w14:paraId="1587A430" w14:textId="77777777" w:rsidR="0062135B" w:rsidRPr="00884B33" w:rsidRDefault="0062135B" w:rsidP="0062135B">
      <w:pPr>
        <w:pStyle w:val="Paragrafoelenco"/>
        <w:widowControl w:val="0"/>
        <w:numPr>
          <w:ilvl w:val="0"/>
          <w:numId w:val="20"/>
        </w:numPr>
      </w:pPr>
      <w:r w:rsidRPr="00D87FDC">
        <w:rPr>
          <w:rFonts w:ascii="Times New Roman" w:hAnsi="Times New Roman" w:cs="Times New Roman"/>
        </w:rPr>
        <w:t>faringiti;</w:t>
      </w:r>
    </w:p>
    <w:p w14:paraId="0FB28115" w14:textId="77777777" w:rsidR="0062135B" w:rsidRPr="00D87FDC" w:rsidRDefault="0062135B" w:rsidP="0062135B">
      <w:pPr>
        <w:pStyle w:val="Paragrafoelenco"/>
        <w:widowControl w:val="0"/>
        <w:numPr>
          <w:ilvl w:val="0"/>
          <w:numId w:val="20"/>
        </w:numPr>
        <w:rPr>
          <w:rFonts w:ascii="Times New Roman" w:hAnsi="Times New Roman" w:cs="Times New Roman"/>
        </w:rPr>
      </w:pPr>
      <w:r w:rsidRPr="00D87FDC">
        <w:rPr>
          <w:rFonts w:ascii="Times New Roman" w:hAnsi="Times New Roman" w:cs="Times New Roman"/>
        </w:rPr>
        <w:t>interventi ai denti (terapie odontoiatriche).</w:t>
      </w:r>
    </w:p>
    <w:p w14:paraId="4E0ECC95" w14:textId="77777777" w:rsidR="0062135B" w:rsidRPr="007B23AF" w:rsidRDefault="0062135B" w:rsidP="0062135B">
      <w:pPr>
        <w:jc w:val="both"/>
        <w:rPr>
          <w:caps/>
          <w:sz w:val="22"/>
          <w:szCs w:val="22"/>
        </w:rPr>
      </w:pPr>
      <w:r w:rsidRPr="007B23AF">
        <w:rPr>
          <w:sz w:val="22"/>
          <w:szCs w:val="22"/>
        </w:rPr>
        <w:t>Si rivolga al medico se non si sente meglio o si sente peggio dopo un breve periodo di trattamento.</w:t>
      </w:r>
    </w:p>
    <w:p w14:paraId="28CB54AF" w14:textId="77777777" w:rsidR="0062135B" w:rsidRPr="00003F98" w:rsidRDefault="0062135B" w:rsidP="0062135B">
      <w:pPr>
        <w:jc w:val="both"/>
        <w:rPr>
          <w:caps/>
          <w:sz w:val="22"/>
          <w:szCs w:val="22"/>
        </w:rPr>
      </w:pPr>
    </w:p>
    <w:p w14:paraId="1B7C8E46" w14:textId="77777777" w:rsidR="0062135B" w:rsidRPr="00003F98" w:rsidRDefault="0062135B" w:rsidP="0062135B">
      <w:pPr>
        <w:numPr>
          <w:ilvl w:val="12"/>
          <w:numId w:val="0"/>
        </w:numPr>
        <w:tabs>
          <w:tab w:val="left" w:pos="426"/>
        </w:tabs>
        <w:ind w:right="-2"/>
        <w:rPr>
          <w:b/>
          <w:noProof/>
          <w:sz w:val="22"/>
          <w:szCs w:val="22"/>
        </w:rPr>
      </w:pPr>
    </w:p>
    <w:p w14:paraId="146ADEF6" w14:textId="77777777" w:rsidR="0062135B" w:rsidRPr="00003F98" w:rsidRDefault="0062135B" w:rsidP="0062135B">
      <w:pPr>
        <w:numPr>
          <w:ilvl w:val="12"/>
          <w:numId w:val="0"/>
        </w:numPr>
        <w:tabs>
          <w:tab w:val="left" w:pos="426"/>
        </w:tabs>
        <w:ind w:right="-2"/>
        <w:rPr>
          <w:b/>
          <w:noProof/>
          <w:sz w:val="22"/>
          <w:szCs w:val="22"/>
        </w:rPr>
      </w:pPr>
      <w:r w:rsidRPr="00003F98">
        <w:rPr>
          <w:b/>
          <w:noProof/>
          <w:sz w:val="22"/>
          <w:szCs w:val="22"/>
        </w:rPr>
        <w:t>2.</w:t>
      </w:r>
      <w:r w:rsidRPr="00003F98">
        <w:rPr>
          <w:b/>
          <w:noProof/>
          <w:sz w:val="22"/>
          <w:szCs w:val="22"/>
        </w:rPr>
        <w:tab/>
        <w:t xml:space="preserve">Cosa deve sapere prima di </w:t>
      </w:r>
      <w:r>
        <w:rPr>
          <w:b/>
          <w:noProof/>
          <w:sz w:val="22"/>
          <w:szCs w:val="22"/>
        </w:rPr>
        <w:t>usare</w:t>
      </w:r>
      <w:r w:rsidRPr="00003F98">
        <w:rPr>
          <w:b/>
          <w:noProof/>
          <w:sz w:val="22"/>
          <w:szCs w:val="22"/>
        </w:rPr>
        <w:t xml:space="preserve"> </w:t>
      </w:r>
      <w:r w:rsidRPr="00003F98">
        <w:rPr>
          <w:b/>
          <w:sz w:val="22"/>
          <w:szCs w:val="22"/>
        </w:rPr>
        <w:t>Tantum Verde Gola</w:t>
      </w:r>
    </w:p>
    <w:p w14:paraId="62F83A70" w14:textId="77777777" w:rsidR="0062135B" w:rsidRPr="00003F98" w:rsidRDefault="0062135B" w:rsidP="0062135B">
      <w:pPr>
        <w:numPr>
          <w:ilvl w:val="12"/>
          <w:numId w:val="0"/>
        </w:numPr>
        <w:ind w:right="-2"/>
        <w:rPr>
          <w:b/>
          <w:noProof/>
          <w:sz w:val="22"/>
          <w:szCs w:val="22"/>
        </w:rPr>
      </w:pPr>
      <w:r w:rsidRPr="00003F98">
        <w:rPr>
          <w:b/>
          <w:noProof/>
          <w:sz w:val="22"/>
          <w:szCs w:val="22"/>
        </w:rPr>
        <w:t xml:space="preserve"> </w:t>
      </w:r>
    </w:p>
    <w:p w14:paraId="67E6C7EE" w14:textId="77777777" w:rsidR="0062135B" w:rsidRPr="00003F98" w:rsidRDefault="0062135B" w:rsidP="0062135B">
      <w:pPr>
        <w:numPr>
          <w:ilvl w:val="12"/>
          <w:numId w:val="0"/>
        </w:numPr>
        <w:ind w:right="-2"/>
        <w:rPr>
          <w:noProof/>
          <w:sz w:val="22"/>
          <w:szCs w:val="22"/>
        </w:rPr>
      </w:pPr>
      <w:r w:rsidRPr="00003F98">
        <w:rPr>
          <w:b/>
          <w:noProof/>
          <w:sz w:val="22"/>
          <w:szCs w:val="22"/>
        </w:rPr>
        <w:t xml:space="preserve">Non </w:t>
      </w:r>
      <w:r>
        <w:rPr>
          <w:b/>
          <w:noProof/>
          <w:sz w:val="22"/>
          <w:szCs w:val="22"/>
        </w:rPr>
        <w:t>usi</w:t>
      </w:r>
      <w:r w:rsidRPr="00003F98">
        <w:rPr>
          <w:b/>
          <w:noProof/>
          <w:sz w:val="22"/>
          <w:szCs w:val="22"/>
        </w:rPr>
        <w:t xml:space="preserve"> </w:t>
      </w:r>
      <w:r w:rsidRPr="00003F98">
        <w:rPr>
          <w:b/>
          <w:sz w:val="22"/>
          <w:szCs w:val="22"/>
        </w:rPr>
        <w:t>Tantum Verde Gola</w:t>
      </w:r>
    </w:p>
    <w:p w14:paraId="1B90EF39" w14:textId="77777777" w:rsidR="0062135B" w:rsidRPr="00003F98" w:rsidRDefault="0062135B" w:rsidP="0062135B">
      <w:pPr>
        <w:widowControl w:val="0"/>
        <w:numPr>
          <w:ilvl w:val="0"/>
          <w:numId w:val="1"/>
        </w:numPr>
        <w:tabs>
          <w:tab w:val="left" w:pos="426"/>
        </w:tabs>
        <w:ind w:left="426" w:hanging="426"/>
        <w:rPr>
          <w:noProof/>
          <w:sz w:val="22"/>
          <w:szCs w:val="22"/>
        </w:rPr>
      </w:pPr>
      <w:r w:rsidRPr="00003F98">
        <w:rPr>
          <w:noProof/>
          <w:sz w:val="22"/>
          <w:szCs w:val="22"/>
        </w:rPr>
        <w:t xml:space="preserve">se è allergico al </w:t>
      </w:r>
      <w:r>
        <w:rPr>
          <w:noProof/>
          <w:sz w:val="22"/>
          <w:szCs w:val="22"/>
        </w:rPr>
        <w:t>principio attivo</w:t>
      </w:r>
      <w:r w:rsidRPr="00003F98">
        <w:rPr>
          <w:noProof/>
          <w:sz w:val="22"/>
          <w:szCs w:val="22"/>
        </w:rPr>
        <w:t xml:space="preserve"> o ad uno qualsiasi degli altri componenti di questo medicinale (elencati al paragrafo 6);</w:t>
      </w:r>
    </w:p>
    <w:p w14:paraId="2236178E" w14:textId="77777777" w:rsidR="0062135B" w:rsidRPr="00003F98" w:rsidRDefault="0062135B" w:rsidP="0062135B">
      <w:pPr>
        <w:widowControl w:val="0"/>
        <w:numPr>
          <w:ilvl w:val="0"/>
          <w:numId w:val="1"/>
        </w:numPr>
        <w:tabs>
          <w:tab w:val="left" w:pos="426"/>
        </w:tabs>
        <w:ind w:left="426" w:hanging="426"/>
        <w:rPr>
          <w:noProof/>
          <w:sz w:val="22"/>
          <w:szCs w:val="22"/>
        </w:rPr>
      </w:pPr>
      <w:r w:rsidRPr="00003F98">
        <w:rPr>
          <w:sz w:val="22"/>
          <w:szCs w:val="22"/>
        </w:rPr>
        <w:t xml:space="preserve">se </w:t>
      </w:r>
      <w:r w:rsidRPr="000F3C10">
        <w:rPr>
          <w:sz w:val="22"/>
          <w:szCs w:val="22"/>
        </w:rPr>
        <w:t>ha avuto asma, orticaria o qualsiasi altra reazione</w:t>
      </w:r>
      <w:r>
        <w:rPr>
          <w:sz w:val="22"/>
          <w:szCs w:val="22"/>
        </w:rPr>
        <w:t xml:space="preserve"> </w:t>
      </w:r>
      <w:r w:rsidRPr="00003F98">
        <w:rPr>
          <w:sz w:val="22"/>
          <w:szCs w:val="22"/>
        </w:rPr>
        <w:t>allergic</w:t>
      </w:r>
      <w:r>
        <w:rPr>
          <w:sz w:val="22"/>
          <w:szCs w:val="22"/>
        </w:rPr>
        <w:t xml:space="preserve">a dopo l’assunzione di acido acetilsalicilico noto come </w:t>
      </w:r>
      <w:r w:rsidRPr="00003F98">
        <w:rPr>
          <w:sz w:val="22"/>
          <w:szCs w:val="22"/>
        </w:rPr>
        <w:t>aspirina o altri FANS;</w:t>
      </w:r>
    </w:p>
    <w:p w14:paraId="10325EC2" w14:textId="77777777" w:rsidR="0062135B" w:rsidRPr="007B23AF" w:rsidRDefault="0062135B" w:rsidP="0062135B">
      <w:pPr>
        <w:widowControl w:val="0"/>
        <w:numPr>
          <w:ilvl w:val="0"/>
          <w:numId w:val="1"/>
        </w:numPr>
        <w:tabs>
          <w:tab w:val="left" w:pos="426"/>
        </w:tabs>
        <w:ind w:left="426" w:hanging="426"/>
        <w:rPr>
          <w:noProof/>
          <w:sz w:val="22"/>
          <w:szCs w:val="22"/>
        </w:rPr>
      </w:pPr>
      <w:proofErr w:type="gramStart"/>
      <w:r w:rsidRPr="00003F98">
        <w:rPr>
          <w:sz w:val="22"/>
          <w:szCs w:val="22"/>
        </w:rPr>
        <w:t>se  ha</w:t>
      </w:r>
      <w:proofErr w:type="gramEnd"/>
      <w:r w:rsidRPr="00003F98">
        <w:rPr>
          <w:sz w:val="22"/>
          <w:szCs w:val="22"/>
        </w:rPr>
        <w:t xml:space="preserve"> </w:t>
      </w:r>
      <w:r>
        <w:rPr>
          <w:sz w:val="22"/>
          <w:szCs w:val="22"/>
        </w:rPr>
        <w:t>un’</w:t>
      </w:r>
      <w:r w:rsidRPr="00003F98">
        <w:rPr>
          <w:sz w:val="22"/>
          <w:szCs w:val="22"/>
        </w:rPr>
        <w:t xml:space="preserve">ulcera </w:t>
      </w:r>
      <w:r>
        <w:rPr>
          <w:sz w:val="22"/>
          <w:szCs w:val="22"/>
        </w:rPr>
        <w:t>peptica (ulcera a</w:t>
      </w:r>
      <w:r w:rsidRPr="00003F98">
        <w:rPr>
          <w:sz w:val="22"/>
          <w:szCs w:val="22"/>
        </w:rPr>
        <w:t xml:space="preserve">llo stomaco o </w:t>
      </w:r>
      <w:r>
        <w:rPr>
          <w:sz w:val="22"/>
          <w:szCs w:val="22"/>
        </w:rPr>
        <w:t>a</w:t>
      </w:r>
      <w:r w:rsidRPr="00003F98">
        <w:rPr>
          <w:sz w:val="22"/>
          <w:szCs w:val="22"/>
        </w:rPr>
        <w:t>l duodeno</w:t>
      </w:r>
      <w:r>
        <w:rPr>
          <w:sz w:val="22"/>
          <w:szCs w:val="22"/>
        </w:rPr>
        <w:t>)</w:t>
      </w:r>
      <w:r w:rsidRPr="007B23AF">
        <w:rPr>
          <w:noProof/>
          <w:sz w:val="22"/>
          <w:szCs w:val="22"/>
        </w:rPr>
        <w:t xml:space="preserve"> o il morbo di Crohn, soffre o ha sofferto di colite ulcerosa, ha avuto due o più episodi di ulcera o</w:t>
      </w:r>
      <w:r>
        <w:rPr>
          <w:noProof/>
          <w:sz w:val="22"/>
          <w:szCs w:val="22"/>
        </w:rPr>
        <w:t xml:space="preserve"> </w:t>
      </w:r>
      <w:r w:rsidRPr="007B23AF">
        <w:rPr>
          <w:noProof/>
          <w:sz w:val="22"/>
          <w:szCs w:val="22"/>
        </w:rPr>
        <w:t>sanguinamento dello stomaco o dell’intestino, ha avuto anche un solo episodio di sanguinamento o</w:t>
      </w:r>
      <w:r>
        <w:rPr>
          <w:noProof/>
          <w:sz w:val="22"/>
          <w:szCs w:val="22"/>
        </w:rPr>
        <w:t xml:space="preserve"> </w:t>
      </w:r>
      <w:r w:rsidRPr="007B23AF">
        <w:rPr>
          <w:noProof/>
          <w:sz w:val="22"/>
          <w:szCs w:val="22"/>
        </w:rPr>
        <w:t>perforazione dello stomaco e/o dell’intestino dovuti a FANS</w:t>
      </w:r>
      <w:r>
        <w:rPr>
          <w:noProof/>
          <w:sz w:val="22"/>
          <w:szCs w:val="22"/>
        </w:rPr>
        <w:t>;</w:t>
      </w:r>
    </w:p>
    <w:p w14:paraId="7769E67B" w14:textId="77777777" w:rsidR="0062135B" w:rsidRPr="007B23AF" w:rsidRDefault="0062135B" w:rsidP="0062135B">
      <w:pPr>
        <w:widowControl w:val="0"/>
        <w:numPr>
          <w:ilvl w:val="0"/>
          <w:numId w:val="1"/>
        </w:numPr>
        <w:tabs>
          <w:tab w:val="left" w:pos="426"/>
        </w:tabs>
        <w:ind w:left="426" w:hanging="426"/>
        <w:rPr>
          <w:sz w:val="22"/>
          <w:szCs w:val="22"/>
        </w:rPr>
      </w:pPr>
      <w:r w:rsidRPr="00547481">
        <w:rPr>
          <w:sz w:val="22"/>
          <w:szCs w:val="22"/>
        </w:rPr>
        <w:t>se ha gravi problemi al cuore, ai reni o al fegato</w:t>
      </w:r>
      <w:r>
        <w:rPr>
          <w:sz w:val="22"/>
          <w:szCs w:val="22"/>
        </w:rPr>
        <w:t>;</w:t>
      </w:r>
    </w:p>
    <w:p w14:paraId="34BBEAC1" w14:textId="77777777" w:rsidR="0062135B" w:rsidRPr="007B23AF" w:rsidRDefault="0062135B" w:rsidP="0062135B">
      <w:pPr>
        <w:widowControl w:val="0"/>
        <w:tabs>
          <w:tab w:val="left" w:pos="426"/>
        </w:tabs>
        <w:rPr>
          <w:noProof/>
        </w:rPr>
      </w:pPr>
      <w:r w:rsidRPr="00D87FDC">
        <w:rPr>
          <w:sz w:val="22"/>
          <w:szCs w:val="22"/>
        </w:rPr>
        <w:t>negli ultimi tre mesi di gravidanza.</w:t>
      </w:r>
    </w:p>
    <w:p w14:paraId="2829C183" w14:textId="77777777" w:rsidR="0062135B" w:rsidRPr="00003F98" w:rsidRDefault="0062135B" w:rsidP="0062135B">
      <w:pPr>
        <w:rPr>
          <w:sz w:val="22"/>
          <w:szCs w:val="22"/>
        </w:rPr>
      </w:pPr>
    </w:p>
    <w:p w14:paraId="64F1786F" w14:textId="77777777" w:rsidR="0062135B" w:rsidRPr="00003F98" w:rsidRDefault="0062135B" w:rsidP="0062135B">
      <w:pPr>
        <w:pStyle w:val="Titolo3"/>
        <w:spacing w:before="0" w:after="0"/>
        <w:rPr>
          <w:rFonts w:ascii="Times New Roman" w:hAnsi="Times New Roman" w:cs="Times New Roman"/>
          <w:sz w:val="22"/>
          <w:szCs w:val="22"/>
        </w:rPr>
      </w:pPr>
      <w:bookmarkStart w:id="0" w:name="_Toc378580929"/>
      <w:bookmarkStart w:id="1" w:name="_Toc378655157"/>
      <w:bookmarkStart w:id="2" w:name="_Toc378655415"/>
      <w:bookmarkStart w:id="3" w:name="_Toc378655523"/>
      <w:bookmarkStart w:id="4" w:name="_Toc378655763"/>
      <w:bookmarkStart w:id="5" w:name="_Toc378655900"/>
      <w:bookmarkStart w:id="6" w:name="_Toc378656609"/>
      <w:bookmarkStart w:id="7" w:name="_Toc378734806"/>
      <w:bookmarkStart w:id="8" w:name="_Toc378735080"/>
      <w:bookmarkStart w:id="9" w:name="_Toc378735400"/>
      <w:bookmarkStart w:id="10" w:name="_Toc378737136"/>
      <w:bookmarkStart w:id="11" w:name="_Toc378737261"/>
      <w:bookmarkStart w:id="12" w:name="_Toc378737383"/>
      <w:bookmarkStart w:id="13" w:name="_Toc378737440"/>
      <w:bookmarkStart w:id="14" w:name="_Toc378743329"/>
      <w:bookmarkStart w:id="15" w:name="_Toc378743627"/>
      <w:bookmarkStart w:id="16" w:name="_Toc378747612"/>
      <w:bookmarkStart w:id="17" w:name="_Toc379252796"/>
      <w:bookmarkStart w:id="18" w:name="_Toc379252890"/>
      <w:bookmarkStart w:id="19" w:name="_Toc379261195"/>
      <w:bookmarkStart w:id="20" w:name="_Toc379261671"/>
      <w:bookmarkStart w:id="21" w:name="_Toc379595697"/>
      <w:bookmarkStart w:id="22" w:name="_Toc379600365"/>
      <w:bookmarkStart w:id="23" w:name="_Toc379601264"/>
      <w:bookmarkStart w:id="24" w:name="_Toc379603232"/>
      <w:bookmarkStart w:id="25" w:name="_Toc379614293"/>
      <w:bookmarkStart w:id="26" w:name="_Toc379695691"/>
      <w:bookmarkStart w:id="27" w:name="_Toc379775837"/>
      <w:bookmarkStart w:id="28" w:name="_Toc379775971"/>
      <w:bookmarkStart w:id="29" w:name="_Toc379782810"/>
      <w:bookmarkStart w:id="30" w:name="_Toc379868302"/>
      <w:bookmarkStart w:id="31" w:name="_Toc380204535"/>
      <w:bookmarkStart w:id="32" w:name="_Toc380209935"/>
      <w:bookmarkStart w:id="33" w:name="_Toc381432654"/>
      <w:bookmarkStart w:id="34" w:name="_Toc382294079"/>
      <w:bookmarkStart w:id="35" w:name="_Toc384522772"/>
      <w:bookmarkStart w:id="36" w:name="_Toc390760817"/>
      <w:bookmarkStart w:id="37" w:name="_Toc399236976"/>
      <w:bookmarkStart w:id="38" w:name="_Toc399237052"/>
      <w:r w:rsidRPr="00003F98">
        <w:rPr>
          <w:rFonts w:ascii="Times New Roman" w:hAnsi="Times New Roman" w:cs="Times New Roman"/>
          <w:sz w:val="22"/>
          <w:szCs w:val="22"/>
        </w:rPr>
        <w:t>Avvertenze e precauzioni</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1EA61CDB" w14:textId="77777777" w:rsidR="0062135B" w:rsidRDefault="0062135B" w:rsidP="0062135B">
      <w:pPr>
        <w:rPr>
          <w:noProof/>
          <w:sz w:val="22"/>
          <w:szCs w:val="22"/>
        </w:rPr>
      </w:pPr>
      <w:r w:rsidRPr="00003F98">
        <w:rPr>
          <w:noProof/>
          <w:sz w:val="22"/>
          <w:szCs w:val="22"/>
        </w:rPr>
        <w:t>Si rivolga al medico  prima di prendere</w:t>
      </w:r>
      <w:r w:rsidRPr="00003F98">
        <w:rPr>
          <w:sz w:val="22"/>
          <w:szCs w:val="22"/>
        </w:rPr>
        <w:t xml:space="preserve"> </w:t>
      </w:r>
      <w:r w:rsidRPr="00003F98">
        <w:rPr>
          <w:noProof/>
          <w:sz w:val="22"/>
          <w:szCs w:val="22"/>
        </w:rPr>
        <w:t>Tantum Verde Gola</w:t>
      </w:r>
      <w:r>
        <w:rPr>
          <w:noProof/>
          <w:sz w:val="22"/>
          <w:szCs w:val="22"/>
        </w:rPr>
        <w:t xml:space="preserve"> se:</w:t>
      </w:r>
    </w:p>
    <w:p w14:paraId="65ADD1ED"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è anziano, poiché ha una maggiore probabilità di sviluppare reazioni avverse a questo medicinale;</w:t>
      </w:r>
    </w:p>
    <w:p w14:paraId="585B5F2B"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è in gravidanza o ha intenzione di intraprendere una gravidanza, o sta allattando;</w:t>
      </w:r>
    </w:p>
    <w:p w14:paraId="445EC7F1"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ha problemi al fegato o ai reni;</w:t>
      </w:r>
    </w:p>
    <w:p w14:paraId="032941CB"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ha problemi al cuore o ai vasi sanguigni, poiché i medicinali come Tantum Verde Gola possono essere associati ad un modesto aumento del rischio di attacco cardiaco (infarto del miocardio) o ictus. Il rischio di avere effetti indesiderati aumenta con dosi elevate e trattamenti prolungati; non ecceda con la dose di Tantum Verde Gola e non lo prenda per lunghi periodi. Informi il medico se ha problemi al cuore, precedenti di ictus o pensa di poter essere a rischio per queste condizioni (per esempio se ha pressione</w:t>
      </w:r>
      <w:r>
        <w:rPr>
          <w:rFonts w:ascii="Times New Roman" w:hAnsi="Times New Roman" w:cs="Times New Roman"/>
          <w:noProof/>
        </w:rPr>
        <w:t xml:space="preserve"> </w:t>
      </w:r>
      <w:r w:rsidRPr="00647163">
        <w:rPr>
          <w:rFonts w:ascii="Times New Roman" w:hAnsi="Times New Roman" w:cs="Times New Roman"/>
          <w:noProof/>
        </w:rPr>
        <w:t>del sangue alta, diabete o colesterolo elevato o fuma);</w:t>
      </w:r>
    </w:p>
    <w:p w14:paraId="60CDC908"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 xml:space="preserve">ha avuto un'ulcera peptica (ulcera allo stomaco o al duodeno) o altre malattie allo stomaco </w:t>
      </w:r>
      <w:r>
        <w:rPr>
          <w:rFonts w:ascii="Times New Roman" w:hAnsi="Times New Roman" w:cs="Times New Roman"/>
          <w:noProof/>
        </w:rPr>
        <w:t xml:space="preserve">o </w:t>
      </w:r>
      <w:r w:rsidRPr="00647163">
        <w:rPr>
          <w:rFonts w:ascii="Times New Roman" w:hAnsi="Times New Roman" w:cs="Times New Roman"/>
          <w:noProof/>
        </w:rPr>
        <w:t>dell’intestino;</w:t>
      </w:r>
    </w:p>
    <w:p w14:paraId="51A63244" w14:textId="77777777" w:rsidR="0062135B" w:rsidRPr="0062057E" w:rsidRDefault="0062135B" w:rsidP="0062135B">
      <w:pPr>
        <w:pStyle w:val="Paragrafoelenco"/>
        <w:numPr>
          <w:ilvl w:val="0"/>
          <w:numId w:val="19"/>
        </w:numPr>
        <w:rPr>
          <w:noProof/>
        </w:rPr>
      </w:pPr>
      <w:r>
        <w:rPr>
          <w:rFonts w:ascii="Times New Roman" w:hAnsi="Times New Roman" w:cs="Times New Roman"/>
          <w:noProof/>
        </w:rPr>
        <w:t>h</w:t>
      </w:r>
      <w:r w:rsidRPr="00647163">
        <w:rPr>
          <w:rFonts w:ascii="Times New Roman" w:hAnsi="Times New Roman" w:cs="Times New Roman"/>
          <w:noProof/>
        </w:rPr>
        <w:t>a l’asma;</w:t>
      </w:r>
    </w:p>
    <w:p w14:paraId="6FE33CEE"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soffre di lupus eritematoso sistemico (LES, conosciuto come lupus) o di connettivite mista, malattie che colpiscono il tessuto connettivo causando dolori alle articolazioni o ai muscoli, alterazioni della cute e</w:t>
      </w:r>
      <w:r>
        <w:rPr>
          <w:rFonts w:ascii="Times New Roman" w:hAnsi="Times New Roman" w:cs="Times New Roman"/>
          <w:noProof/>
        </w:rPr>
        <w:t xml:space="preserve"> </w:t>
      </w:r>
      <w:r w:rsidRPr="00647163">
        <w:rPr>
          <w:rFonts w:ascii="Times New Roman" w:hAnsi="Times New Roman" w:cs="Times New Roman"/>
          <w:noProof/>
        </w:rPr>
        <w:t>problemi ad altri organi;</w:t>
      </w:r>
    </w:p>
    <w:p w14:paraId="7BA57BAE"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è in uno stato di disidratazione poiché ha una maggiore probabilità di avere problemi ai reni;</w:t>
      </w:r>
    </w:p>
    <w:p w14:paraId="1686C0EB"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ha un’infezione – fare riferimento al paragrafo “Infezioni” di</w:t>
      </w:r>
      <w:r>
        <w:rPr>
          <w:rFonts w:ascii="Times New Roman" w:hAnsi="Times New Roman" w:cs="Times New Roman"/>
          <w:noProof/>
        </w:rPr>
        <w:t xml:space="preserve"> seguito.</w:t>
      </w:r>
    </w:p>
    <w:p w14:paraId="4AA3B0D7" w14:textId="77777777" w:rsidR="0062135B" w:rsidRPr="007B7573" w:rsidRDefault="0062135B" w:rsidP="0062135B">
      <w:pPr>
        <w:rPr>
          <w:noProof/>
          <w:sz w:val="22"/>
          <w:szCs w:val="22"/>
        </w:rPr>
      </w:pPr>
      <w:r w:rsidRPr="007B7573">
        <w:rPr>
          <w:noProof/>
          <w:sz w:val="22"/>
          <w:szCs w:val="22"/>
        </w:rPr>
        <w:t>FACCIA ATTENZIONE, poiché durante il trattamento con tutti i farmaci contro il dolore e</w:t>
      </w:r>
      <w:r>
        <w:rPr>
          <w:noProof/>
          <w:sz w:val="22"/>
          <w:szCs w:val="22"/>
        </w:rPr>
        <w:t xml:space="preserve"> </w:t>
      </w:r>
      <w:r w:rsidRPr="007B7573">
        <w:rPr>
          <w:noProof/>
          <w:sz w:val="22"/>
          <w:szCs w:val="22"/>
        </w:rPr>
        <w:t>l’infiammazione (FANS):</w:t>
      </w:r>
    </w:p>
    <w:p w14:paraId="04C40E29"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in qualsiasi momento, con o senza sintomi di preavviso, anche in pazienti senza precedenti problemi gravi allo stomaco o all’intestino (gastrointestinali), sono stati riportati sanguinamenti, ulcerazione o perforazione dello stomaco o dell’intestino, che possono essere mortali. Il rischio di ulcerazione o sanguinamenti può aumentare se assume contemporaneamente medicinali come corticosteroidi orali, anticoagulanti, antiaggreganti e inibitori selettivi della ricaptazione della serotonina (vedere “Altri</w:t>
      </w:r>
      <w:r>
        <w:rPr>
          <w:rFonts w:ascii="Times New Roman" w:hAnsi="Times New Roman" w:cs="Times New Roman"/>
          <w:noProof/>
        </w:rPr>
        <w:t xml:space="preserve"> </w:t>
      </w:r>
      <w:r w:rsidRPr="00647163">
        <w:rPr>
          <w:rFonts w:ascii="Times New Roman" w:hAnsi="Times New Roman" w:cs="Times New Roman"/>
          <w:noProof/>
        </w:rPr>
        <w:t xml:space="preserve">medicinali e </w:t>
      </w:r>
      <w:r w:rsidRPr="007B7573">
        <w:rPr>
          <w:rFonts w:ascii="Times New Roman" w:hAnsi="Times New Roman" w:cs="Times New Roman"/>
          <w:noProof/>
        </w:rPr>
        <w:t>Tantum Verde Gola</w:t>
      </w:r>
      <w:r w:rsidRPr="00647163">
        <w:rPr>
          <w:rFonts w:ascii="Times New Roman" w:hAnsi="Times New Roman" w:cs="Times New Roman"/>
          <w:noProof/>
        </w:rPr>
        <w:t>”).</w:t>
      </w:r>
    </w:p>
    <w:p w14:paraId="705FFD81"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anche se molto raramente, sono state riportate gravi reazioni della pelle, alcune delle quali mortali, che si manifestano con arrossamento, formazione di bolle ed esfoliazione (ad esempio dermatite esfoliativa,  sindrome di Stevens-Johnson e necrolisi tossica epidermica). Nelle prime fasi della terapia, i pazienti sembrano essere a più alto rischio: tali reazioni si verificano nella maggior parte dei casi entro il primo</w:t>
      </w:r>
      <w:r>
        <w:rPr>
          <w:rFonts w:ascii="Times New Roman" w:hAnsi="Times New Roman" w:cs="Times New Roman"/>
          <w:noProof/>
        </w:rPr>
        <w:t xml:space="preserve"> </w:t>
      </w:r>
      <w:r w:rsidRPr="00647163">
        <w:rPr>
          <w:rFonts w:ascii="Times New Roman" w:hAnsi="Times New Roman" w:cs="Times New Roman"/>
          <w:noProof/>
        </w:rPr>
        <w:t>mese di trattamento.</w:t>
      </w:r>
    </w:p>
    <w:p w14:paraId="2D8D2A10"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può verificarsi un peggioramento delle infezioni come, ad esempio, la comparsa di fascite necrotizzante che si manifesta con febbre, brividi, debolezza, sudorazione, diarrea, vomito, arrossamento, dolore,</w:t>
      </w:r>
      <w:r>
        <w:rPr>
          <w:rFonts w:ascii="Times New Roman" w:hAnsi="Times New Roman" w:cs="Times New Roman"/>
          <w:noProof/>
        </w:rPr>
        <w:t xml:space="preserve"> </w:t>
      </w:r>
      <w:r w:rsidRPr="00647163">
        <w:rPr>
          <w:rFonts w:ascii="Times New Roman" w:hAnsi="Times New Roman" w:cs="Times New Roman"/>
          <w:noProof/>
        </w:rPr>
        <w:t>gonfiore, lividi in una zona del corpo dovuta a necrosi tissutale (morte delle cellule dei tessuti).</w:t>
      </w:r>
    </w:p>
    <w:p w14:paraId="1B936661"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può verificarsi mal di testa se utilizzati per periodi prolungati; in tal caso, non aumenti la dose di</w:t>
      </w:r>
      <w:r>
        <w:rPr>
          <w:rFonts w:ascii="Times New Roman" w:hAnsi="Times New Roman" w:cs="Times New Roman"/>
          <w:noProof/>
        </w:rPr>
        <w:t xml:space="preserve"> </w:t>
      </w:r>
      <w:r w:rsidRPr="007B7573">
        <w:rPr>
          <w:rFonts w:ascii="Times New Roman" w:hAnsi="Times New Roman" w:cs="Times New Roman"/>
          <w:noProof/>
        </w:rPr>
        <w:t>Tantum Verde Gola</w:t>
      </w:r>
      <w:r w:rsidRPr="00647163">
        <w:rPr>
          <w:rFonts w:ascii="Times New Roman" w:hAnsi="Times New Roman" w:cs="Times New Roman"/>
          <w:noProof/>
        </w:rPr>
        <w:t xml:space="preserve"> per alleviare il dolore.</w:t>
      </w:r>
    </w:p>
    <w:p w14:paraId="00CB646B"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l’uso contemporaneo di alcool può aumentare il rischio di effetti indesiderati che interessano lo stomaco</w:t>
      </w:r>
      <w:r>
        <w:rPr>
          <w:rFonts w:ascii="Times New Roman" w:hAnsi="Times New Roman" w:cs="Times New Roman"/>
          <w:noProof/>
        </w:rPr>
        <w:t xml:space="preserve"> </w:t>
      </w:r>
      <w:r w:rsidRPr="00647163">
        <w:rPr>
          <w:rFonts w:ascii="Times New Roman" w:hAnsi="Times New Roman" w:cs="Times New Roman"/>
          <w:noProof/>
        </w:rPr>
        <w:t>e l’intestino o il sistema nervoso</w:t>
      </w:r>
      <w:r>
        <w:rPr>
          <w:rFonts w:ascii="Times New Roman" w:hAnsi="Times New Roman" w:cs="Times New Roman"/>
          <w:noProof/>
        </w:rPr>
        <w:t>.</w:t>
      </w:r>
    </w:p>
    <w:p w14:paraId="15D813CC" w14:textId="77777777" w:rsidR="0062135B" w:rsidRPr="007B7573" w:rsidRDefault="0062135B" w:rsidP="0062135B">
      <w:pPr>
        <w:ind w:right="-2"/>
        <w:rPr>
          <w:noProof/>
          <w:sz w:val="22"/>
          <w:szCs w:val="22"/>
        </w:rPr>
      </w:pPr>
      <w:r w:rsidRPr="007B7573">
        <w:rPr>
          <w:noProof/>
          <w:sz w:val="22"/>
          <w:szCs w:val="22"/>
        </w:rPr>
        <w:t>SOSPENDA il trattamento e contatti il medico se:</w:t>
      </w:r>
    </w:p>
    <w:p w14:paraId="1D7C320F"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nota qualsiasi sintomo a carico dello stomaco e dell’intestino (gastrointestinale), soprattutto se si tratta</w:t>
      </w:r>
      <w:r>
        <w:rPr>
          <w:rFonts w:ascii="Times New Roman" w:hAnsi="Times New Roman" w:cs="Times New Roman"/>
          <w:noProof/>
        </w:rPr>
        <w:t xml:space="preserve"> </w:t>
      </w:r>
      <w:r w:rsidRPr="00647163">
        <w:rPr>
          <w:rFonts w:ascii="Times New Roman" w:hAnsi="Times New Roman" w:cs="Times New Roman"/>
          <w:noProof/>
        </w:rPr>
        <w:t>di sanguinamenti;</w:t>
      </w:r>
    </w:p>
    <w:p w14:paraId="40992A3A" w14:textId="77777777" w:rsidR="0062135B" w:rsidRPr="0062057E" w:rsidRDefault="0062135B" w:rsidP="0062135B">
      <w:pPr>
        <w:pStyle w:val="Paragrafoelenco"/>
        <w:numPr>
          <w:ilvl w:val="0"/>
          <w:numId w:val="19"/>
        </w:numPr>
        <w:rPr>
          <w:noProof/>
        </w:rPr>
      </w:pPr>
      <w:r w:rsidRPr="00647163">
        <w:rPr>
          <w:rFonts w:ascii="Times New Roman" w:hAnsi="Times New Roman" w:cs="Times New Roman"/>
          <w:noProof/>
        </w:rPr>
        <w:t>compare un’eruzione cutanea, lesioni della mucosa o qualsiasi altro segno di reazione allergica (esempio</w:t>
      </w:r>
      <w:r>
        <w:rPr>
          <w:rFonts w:ascii="Times New Roman" w:hAnsi="Times New Roman" w:cs="Times New Roman"/>
          <w:noProof/>
        </w:rPr>
        <w:t xml:space="preserve"> </w:t>
      </w:r>
      <w:r w:rsidRPr="00647163">
        <w:rPr>
          <w:rFonts w:ascii="Times New Roman" w:hAnsi="Times New Roman" w:cs="Times New Roman"/>
          <w:noProof/>
        </w:rPr>
        <w:t>arrossamento, prurito, gonfiore del viso e della gola, brusco abbassamento della pressione).</w:t>
      </w:r>
      <w:r w:rsidRPr="00647163" w:rsidDel="007B7573">
        <w:rPr>
          <w:rFonts w:ascii="Times New Roman" w:hAnsi="Times New Roman" w:cs="Times New Roman"/>
          <w:noProof/>
        </w:rPr>
        <w:t xml:space="preserve"> </w:t>
      </w:r>
    </w:p>
    <w:p w14:paraId="4EF5BAD0" w14:textId="77777777" w:rsidR="0062135B" w:rsidRDefault="0062135B" w:rsidP="0062135B">
      <w:pPr>
        <w:rPr>
          <w:noProof/>
          <w:sz w:val="22"/>
          <w:szCs w:val="22"/>
        </w:rPr>
      </w:pPr>
    </w:p>
    <w:p w14:paraId="440CA783" w14:textId="77777777" w:rsidR="0062135B" w:rsidRDefault="0062135B" w:rsidP="0062135B">
      <w:pPr>
        <w:rPr>
          <w:sz w:val="22"/>
          <w:szCs w:val="22"/>
        </w:rPr>
      </w:pPr>
    </w:p>
    <w:p w14:paraId="34832049" w14:textId="77777777" w:rsidR="0062135B" w:rsidRPr="00003F98" w:rsidRDefault="0062135B" w:rsidP="0062135B">
      <w:pPr>
        <w:widowControl w:val="0"/>
        <w:rPr>
          <w:sz w:val="22"/>
          <w:szCs w:val="22"/>
        </w:rPr>
      </w:pPr>
    </w:p>
    <w:p w14:paraId="257A663D" w14:textId="77777777" w:rsidR="0062135B" w:rsidRPr="003A7B93" w:rsidRDefault="0062135B" w:rsidP="0062135B">
      <w:pPr>
        <w:jc w:val="both"/>
        <w:rPr>
          <w:b/>
          <w:sz w:val="22"/>
          <w:szCs w:val="22"/>
        </w:rPr>
      </w:pPr>
      <w:r w:rsidRPr="003A7B93">
        <w:rPr>
          <w:b/>
          <w:sz w:val="22"/>
          <w:szCs w:val="22"/>
        </w:rPr>
        <w:t>Infezioni</w:t>
      </w:r>
    </w:p>
    <w:p w14:paraId="63B10434" w14:textId="77777777" w:rsidR="0062135B" w:rsidRDefault="0062135B" w:rsidP="0062135B">
      <w:pPr>
        <w:jc w:val="both"/>
        <w:rPr>
          <w:bCs/>
          <w:sz w:val="22"/>
          <w:szCs w:val="22"/>
        </w:rPr>
      </w:pPr>
      <w:r w:rsidRPr="00FC3440">
        <w:rPr>
          <w:bCs/>
          <w:sz w:val="22"/>
          <w:szCs w:val="22"/>
        </w:rPr>
        <w:t>I farmaci antinfiammatori non steroidei (FANS) possono nascondere segni di infezioni come febbre e dolore. Ciò può ritardare il trattamento appropriato dell’infezione, il che, a sua volta, può comportare un aumento del rischio di complicanze. Se assume questo medicinale nel corso di un’infezione e i sintomi dell’infezione persistono o peggiorano, si rivolga immediatamente al medico o al farmacista.</w:t>
      </w:r>
    </w:p>
    <w:p w14:paraId="18FB3B20" w14:textId="77777777" w:rsidR="0062135B" w:rsidRDefault="0062135B" w:rsidP="0062135B">
      <w:pPr>
        <w:jc w:val="both"/>
        <w:rPr>
          <w:bCs/>
          <w:sz w:val="22"/>
          <w:szCs w:val="22"/>
        </w:rPr>
      </w:pPr>
    </w:p>
    <w:p w14:paraId="7917F43E" w14:textId="77777777" w:rsidR="0062135B" w:rsidRPr="007B7573" w:rsidRDefault="0062135B" w:rsidP="0062135B">
      <w:pPr>
        <w:rPr>
          <w:b/>
          <w:bCs/>
          <w:sz w:val="22"/>
          <w:szCs w:val="22"/>
        </w:rPr>
      </w:pPr>
      <w:r w:rsidRPr="007B7573">
        <w:rPr>
          <w:b/>
          <w:bCs/>
          <w:sz w:val="22"/>
          <w:szCs w:val="22"/>
        </w:rPr>
        <w:t>Gli effetti sopra riportati sono stati segnalati in particolare dopo la somministrazione di formulazioni a</w:t>
      </w:r>
    </w:p>
    <w:p w14:paraId="2701E284" w14:textId="77777777" w:rsidR="0062135B" w:rsidRDefault="0062135B" w:rsidP="0062135B">
      <w:pPr>
        <w:rPr>
          <w:b/>
          <w:sz w:val="22"/>
          <w:szCs w:val="22"/>
        </w:rPr>
      </w:pPr>
      <w:r w:rsidRPr="007B7573">
        <w:rPr>
          <w:b/>
          <w:bCs/>
          <w:sz w:val="22"/>
          <w:szCs w:val="22"/>
        </w:rPr>
        <w:t xml:space="preserve">base di </w:t>
      </w:r>
      <w:proofErr w:type="spellStart"/>
      <w:r w:rsidRPr="007B7573">
        <w:rPr>
          <w:b/>
          <w:bCs/>
          <w:sz w:val="22"/>
          <w:szCs w:val="22"/>
        </w:rPr>
        <w:t>flurbiprofene</w:t>
      </w:r>
      <w:proofErr w:type="spellEnd"/>
      <w:r w:rsidRPr="007B7573">
        <w:rPr>
          <w:b/>
          <w:bCs/>
          <w:sz w:val="22"/>
          <w:szCs w:val="22"/>
        </w:rPr>
        <w:t xml:space="preserve"> ad uso sistemico.</w:t>
      </w:r>
      <w:r w:rsidRPr="007B7573">
        <w:rPr>
          <w:b/>
          <w:sz w:val="22"/>
          <w:szCs w:val="22"/>
        </w:rPr>
        <w:t xml:space="preserve"> </w:t>
      </w:r>
    </w:p>
    <w:p w14:paraId="0E5B9C53" w14:textId="77777777" w:rsidR="0062135B" w:rsidRDefault="0062135B" w:rsidP="0062135B">
      <w:pPr>
        <w:jc w:val="both"/>
        <w:rPr>
          <w:bCs/>
          <w:sz w:val="22"/>
          <w:szCs w:val="22"/>
        </w:rPr>
      </w:pPr>
    </w:p>
    <w:p w14:paraId="6B88E2BC" w14:textId="77777777" w:rsidR="0062135B" w:rsidRPr="00003F98" w:rsidRDefault="0062135B" w:rsidP="0062135B">
      <w:pPr>
        <w:rPr>
          <w:b/>
          <w:caps/>
          <w:sz w:val="22"/>
          <w:szCs w:val="22"/>
        </w:rPr>
      </w:pPr>
      <w:r w:rsidRPr="00003F98">
        <w:rPr>
          <w:b/>
          <w:sz w:val="22"/>
          <w:szCs w:val="22"/>
        </w:rPr>
        <w:t>Altri medicinali e Tantum Verde Gola</w:t>
      </w:r>
    </w:p>
    <w:p w14:paraId="7D6F242E" w14:textId="3B8B0D38" w:rsidR="0062135B" w:rsidRPr="00003F98" w:rsidRDefault="0062135B" w:rsidP="0062135B">
      <w:pPr>
        <w:rPr>
          <w:sz w:val="22"/>
          <w:szCs w:val="22"/>
        </w:rPr>
      </w:pPr>
      <w:r w:rsidRPr="00003F98">
        <w:rPr>
          <w:sz w:val="22"/>
          <w:szCs w:val="22"/>
        </w:rPr>
        <w:t>Informi il medico o farmacista se sta assumendo, ha recentemente assunto o potrebbe assumere qualsiasi altro medicinale</w:t>
      </w:r>
      <w:r>
        <w:rPr>
          <w:sz w:val="22"/>
          <w:szCs w:val="22"/>
        </w:rPr>
        <w:t>,</w:t>
      </w:r>
      <w:r w:rsidRPr="00A12965">
        <w:rPr>
          <w:sz w:val="22"/>
          <w:szCs w:val="22"/>
        </w:rPr>
        <w:t xml:space="preserve"> poiché alcuni farmaci possono interagire con Tantum Verde Gola o aumentare il rischio di eventi avversi, anche gravi.</w:t>
      </w:r>
    </w:p>
    <w:p w14:paraId="2BCBE97B" w14:textId="77777777" w:rsidR="0062135B" w:rsidRDefault="0062135B" w:rsidP="0062135B">
      <w:pPr>
        <w:widowControl w:val="0"/>
        <w:rPr>
          <w:b/>
          <w:sz w:val="22"/>
          <w:szCs w:val="22"/>
        </w:rPr>
      </w:pPr>
    </w:p>
    <w:p w14:paraId="48C8D565" w14:textId="77777777" w:rsidR="0062135B" w:rsidRPr="00647163" w:rsidRDefault="0062135B" w:rsidP="0062135B">
      <w:pPr>
        <w:widowControl w:val="0"/>
        <w:rPr>
          <w:bCs/>
          <w:sz w:val="22"/>
          <w:szCs w:val="22"/>
        </w:rPr>
      </w:pPr>
      <w:r w:rsidRPr="00647163">
        <w:rPr>
          <w:bCs/>
          <w:sz w:val="22"/>
          <w:szCs w:val="22"/>
        </w:rPr>
        <w:t>In particolare, contatti il medico se sta assumendo:</w:t>
      </w:r>
    </w:p>
    <w:p w14:paraId="5BAF68FE"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diuretici (farmaci che aumentano la produzione di urina, es. furosemide e spironolattone);</w:t>
      </w:r>
    </w:p>
    <w:p w14:paraId="735BC84A"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glicosidi cardiaci (farmaci utilizzati per le malattie del cuore, come la digossina);</w:t>
      </w:r>
    </w:p>
    <w:p w14:paraId="231FADEE"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ACE-inibitori (es. captopril) o antagonisti dell’angiotensina II (es. losartan), farmaci usati contro la</w:t>
      </w:r>
      <w:r>
        <w:rPr>
          <w:rFonts w:ascii="Times New Roman" w:hAnsi="Times New Roman" w:cs="Times New Roman"/>
          <w:noProof/>
        </w:rPr>
        <w:t xml:space="preserve"> </w:t>
      </w:r>
      <w:r w:rsidRPr="00647163">
        <w:rPr>
          <w:rFonts w:ascii="Times New Roman" w:hAnsi="Times New Roman" w:cs="Times New Roman"/>
          <w:noProof/>
        </w:rPr>
        <w:t>pressione alta (ipertensione) del sangue;</w:t>
      </w:r>
    </w:p>
    <w:p w14:paraId="11603E6F"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farmaci anticoagulanti (es. warfarin), usati per evitare che il sangue coaguli;</w:t>
      </w:r>
    </w:p>
    <w:p w14:paraId="3447D9EE"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farmaci antiaggreganti, usati per fluidificare il sangue;</w:t>
      </w:r>
    </w:p>
    <w:p w14:paraId="43803C61"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litio, utilizzato nella depressione;</w:t>
      </w:r>
    </w:p>
    <w:p w14:paraId="29992291"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zidovudina, farmaco contro i virus;</w:t>
      </w:r>
    </w:p>
    <w:p w14:paraId="72CFD988"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metotrexato, usato per trattare alcuni tumori e per alcuni tipi di malattie del sistema immunitario, ad</w:t>
      </w:r>
      <w:r>
        <w:rPr>
          <w:rFonts w:ascii="Times New Roman" w:hAnsi="Times New Roman" w:cs="Times New Roman"/>
          <w:noProof/>
        </w:rPr>
        <w:t xml:space="preserve"> </w:t>
      </w:r>
      <w:r w:rsidRPr="00647163">
        <w:rPr>
          <w:rFonts w:ascii="Times New Roman" w:hAnsi="Times New Roman" w:cs="Times New Roman"/>
          <w:noProof/>
        </w:rPr>
        <w:t>esempio artrite reumatoide;</w:t>
      </w:r>
    </w:p>
    <w:p w14:paraId="2AD933D6"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ciclosporina e tacrolimus, farmaci immunosoppressori utilizzati per ridurre la sua risposta immunitaria;</w:t>
      </w:r>
    </w:p>
    <w:p w14:paraId="69A67547"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farmaci conosciuti come corticosteroidi, usati nel trattamento di malattie infiammatorie (es. prednisone,</w:t>
      </w:r>
      <w:r>
        <w:rPr>
          <w:rFonts w:ascii="Times New Roman" w:hAnsi="Times New Roman" w:cs="Times New Roman"/>
          <w:noProof/>
        </w:rPr>
        <w:t xml:space="preserve"> </w:t>
      </w:r>
      <w:r w:rsidRPr="00647163">
        <w:rPr>
          <w:rFonts w:ascii="Times New Roman" w:hAnsi="Times New Roman" w:cs="Times New Roman"/>
          <w:noProof/>
        </w:rPr>
        <w:t>desametasone, idrocortisone);</w:t>
      </w:r>
    </w:p>
    <w:p w14:paraId="31EE0B25"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farmaci antidepressivi chiamati inibitori selettivi della ricaptazione della serotonina (SSRIs) (es.</w:t>
      </w:r>
      <w:r>
        <w:rPr>
          <w:rFonts w:ascii="Times New Roman" w:hAnsi="Times New Roman" w:cs="Times New Roman"/>
          <w:noProof/>
        </w:rPr>
        <w:t xml:space="preserve"> </w:t>
      </w:r>
      <w:r w:rsidRPr="00647163">
        <w:rPr>
          <w:rFonts w:ascii="Times New Roman" w:hAnsi="Times New Roman" w:cs="Times New Roman"/>
          <w:noProof/>
        </w:rPr>
        <w:t>paroxetina, fluoxetina);</w:t>
      </w:r>
    </w:p>
    <w:p w14:paraId="142E68EE"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antibiotici chiamati chinoloni (es. ciprofloxacina);</w:t>
      </w:r>
    </w:p>
    <w:p w14:paraId="537C27CF"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mifepristone, farmaco usato per abortire (assunto ora o negli ultimi 12 giorni);</w:t>
      </w:r>
    </w:p>
    <w:p w14:paraId="5D1016A0" w14:textId="77777777" w:rsidR="0062135B" w:rsidRPr="00647163" w:rsidRDefault="0062135B" w:rsidP="0062135B">
      <w:pPr>
        <w:pStyle w:val="Paragrafoelenco"/>
        <w:numPr>
          <w:ilvl w:val="0"/>
          <w:numId w:val="19"/>
        </w:numPr>
        <w:rPr>
          <w:noProof/>
        </w:rPr>
      </w:pPr>
      <w:r w:rsidRPr="00647163">
        <w:rPr>
          <w:rFonts w:ascii="Times New Roman" w:hAnsi="Times New Roman" w:cs="Times New Roman"/>
          <w:noProof/>
        </w:rPr>
        <w:t>qualsiasi altro farmaco usato contro l’infiammazione (FANS), incluso l’acido acetilsalicilico noto come</w:t>
      </w:r>
      <w:r>
        <w:rPr>
          <w:rFonts w:ascii="Times New Roman" w:hAnsi="Times New Roman" w:cs="Times New Roman"/>
          <w:noProof/>
        </w:rPr>
        <w:t xml:space="preserve"> </w:t>
      </w:r>
      <w:r w:rsidRPr="00647163">
        <w:rPr>
          <w:rFonts w:ascii="Times New Roman" w:hAnsi="Times New Roman" w:cs="Times New Roman"/>
          <w:noProof/>
        </w:rPr>
        <w:t>aspirina e i farmaci appartenenti alla classe degli inibitori della COX-2 (es. celecoxib).</w:t>
      </w:r>
    </w:p>
    <w:p w14:paraId="4D40DD94" w14:textId="77777777" w:rsidR="0062135B" w:rsidRPr="00D87FDC" w:rsidRDefault="0062135B" w:rsidP="0062135B">
      <w:pPr>
        <w:widowControl w:val="0"/>
        <w:rPr>
          <w:bCs/>
          <w:sz w:val="22"/>
          <w:szCs w:val="22"/>
        </w:rPr>
      </w:pPr>
      <w:r w:rsidRPr="00D87FDC">
        <w:rPr>
          <w:bCs/>
          <w:sz w:val="22"/>
          <w:szCs w:val="22"/>
        </w:rPr>
        <w:t>Le interazioni sopra riportate sono state segnalate in particolare dopo la somministrazione di formulazioni a</w:t>
      </w:r>
    </w:p>
    <w:p w14:paraId="4C814E5B" w14:textId="77777777" w:rsidR="0062135B" w:rsidRPr="00D87FDC" w:rsidRDefault="0062135B" w:rsidP="0062135B">
      <w:pPr>
        <w:widowControl w:val="0"/>
        <w:rPr>
          <w:bCs/>
          <w:sz w:val="22"/>
          <w:szCs w:val="22"/>
        </w:rPr>
      </w:pPr>
      <w:r w:rsidRPr="00D87FDC">
        <w:rPr>
          <w:bCs/>
          <w:sz w:val="22"/>
          <w:szCs w:val="22"/>
        </w:rPr>
        <w:t xml:space="preserve">base di </w:t>
      </w:r>
      <w:proofErr w:type="spellStart"/>
      <w:r w:rsidRPr="00D87FDC">
        <w:rPr>
          <w:bCs/>
          <w:sz w:val="22"/>
          <w:szCs w:val="22"/>
        </w:rPr>
        <w:t>flurbiprofene</w:t>
      </w:r>
      <w:proofErr w:type="spellEnd"/>
      <w:r w:rsidRPr="00D87FDC">
        <w:rPr>
          <w:bCs/>
          <w:sz w:val="22"/>
          <w:szCs w:val="22"/>
        </w:rPr>
        <w:t xml:space="preserve"> ad uso sistemico.</w:t>
      </w:r>
    </w:p>
    <w:p w14:paraId="17A7DFDD" w14:textId="77777777" w:rsidR="0062135B" w:rsidRPr="00D87FDC" w:rsidRDefault="0062135B" w:rsidP="0062135B">
      <w:pPr>
        <w:widowControl w:val="0"/>
        <w:rPr>
          <w:bCs/>
          <w:sz w:val="22"/>
          <w:szCs w:val="22"/>
        </w:rPr>
      </w:pPr>
    </w:p>
    <w:p w14:paraId="1E43DCDB" w14:textId="77777777" w:rsidR="0062135B" w:rsidRDefault="0062135B" w:rsidP="0062135B">
      <w:pPr>
        <w:widowControl w:val="0"/>
        <w:rPr>
          <w:bCs/>
          <w:sz w:val="22"/>
          <w:szCs w:val="22"/>
        </w:rPr>
      </w:pPr>
      <w:r w:rsidRPr="00D87FDC">
        <w:rPr>
          <w:bCs/>
          <w:sz w:val="22"/>
          <w:szCs w:val="22"/>
        </w:rPr>
        <w:t>Alle dosi consigliate non sono state segnalate interazioni con altri medicinali o di altro genere.</w:t>
      </w:r>
    </w:p>
    <w:p w14:paraId="2C7C808C" w14:textId="77777777" w:rsidR="0062135B" w:rsidRPr="00D87FDC" w:rsidRDefault="0062135B" w:rsidP="0062135B">
      <w:pPr>
        <w:widowControl w:val="0"/>
        <w:rPr>
          <w:bCs/>
          <w:sz w:val="22"/>
          <w:szCs w:val="22"/>
        </w:rPr>
      </w:pPr>
    </w:p>
    <w:p w14:paraId="3F5C3D2C" w14:textId="77777777" w:rsidR="0062135B" w:rsidRDefault="0062135B" w:rsidP="0062135B">
      <w:pPr>
        <w:rPr>
          <w:b/>
          <w:sz w:val="22"/>
          <w:szCs w:val="22"/>
        </w:rPr>
      </w:pPr>
      <w:r w:rsidRPr="00F34762">
        <w:rPr>
          <w:b/>
          <w:sz w:val="22"/>
          <w:szCs w:val="22"/>
        </w:rPr>
        <w:t>Gravidanza, allattamento e fertilità</w:t>
      </w:r>
      <w:r w:rsidRPr="00003F98" w:rsidDel="00AB4ABD">
        <w:rPr>
          <w:b/>
          <w:sz w:val="22"/>
          <w:szCs w:val="22"/>
        </w:rPr>
        <w:t xml:space="preserve"> </w:t>
      </w:r>
    </w:p>
    <w:p w14:paraId="50A3914F" w14:textId="77777777" w:rsidR="0062135B" w:rsidRDefault="0062135B" w:rsidP="0062135B">
      <w:pPr>
        <w:rPr>
          <w:bCs/>
          <w:sz w:val="22"/>
          <w:szCs w:val="22"/>
        </w:rPr>
      </w:pPr>
      <w:r w:rsidRPr="003A1FDC">
        <w:rPr>
          <w:bCs/>
          <w:sz w:val="22"/>
          <w:szCs w:val="22"/>
        </w:rPr>
        <w:t>Se vuole intraprendere una gravidanza o ha problemi di concepimento consulti il medico, poiché questo</w:t>
      </w:r>
      <w:r>
        <w:rPr>
          <w:bCs/>
          <w:sz w:val="22"/>
          <w:szCs w:val="22"/>
        </w:rPr>
        <w:t xml:space="preserve"> </w:t>
      </w:r>
      <w:r w:rsidRPr="003A1FDC">
        <w:rPr>
          <w:bCs/>
          <w:sz w:val="22"/>
          <w:szCs w:val="22"/>
        </w:rPr>
        <w:t xml:space="preserve">medicinale può compromettere la fertilità. </w:t>
      </w:r>
    </w:p>
    <w:p w14:paraId="2E0A52C0" w14:textId="77777777" w:rsidR="0062135B" w:rsidRPr="00F34762" w:rsidRDefault="0062135B" w:rsidP="0062135B">
      <w:pPr>
        <w:rPr>
          <w:bCs/>
          <w:sz w:val="22"/>
          <w:szCs w:val="22"/>
        </w:rPr>
      </w:pPr>
      <w:r w:rsidRPr="00F34762">
        <w:rPr>
          <w:bCs/>
          <w:sz w:val="22"/>
          <w:szCs w:val="22"/>
        </w:rPr>
        <w:t xml:space="preserve">Formulazioni orali </w:t>
      </w:r>
      <w:r>
        <w:rPr>
          <w:bCs/>
          <w:sz w:val="22"/>
          <w:szCs w:val="22"/>
        </w:rPr>
        <w:t xml:space="preserve">(ad es. compresse) </w:t>
      </w:r>
      <w:r w:rsidRPr="00F34762">
        <w:rPr>
          <w:bCs/>
          <w:sz w:val="22"/>
          <w:szCs w:val="22"/>
        </w:rPr>
        <w:t xml:space="preserve">di </w:t>
      </w:r>
      <w:proofErr w:type="spellStart"/>
      <w:r w:rsidRPr="00F34762">
        <w:rPr>
          <w:bCs/>
          <w:sz w:val="22"/>
          <w:szCs w:val="22"/>
        </w:rPr>
        <w:t>flurbiprofene</w:t>
      </w:r>
      <w:proofErr w:type="spellEnd"/>
      <w:r w:rsidRPr="00F34762">
        <w:rPr>
          <w:bCs/>
          <w:sz w:val="22"/>
          <w:szCs w:val="22"/>
        </w:rPr>
        <w:t xml:space="preserve"> possono causare effetti avversi nel nascituro. Non è noto se lo stesso rischio si applichi a </w:t>
      </w:r>
      <w:r w:rsidRPr="00003F98">
        <w:rPr>
          <w:sz w:val="22"/>
          <w:szCs w:val="22"/>
        </w:rPr>
        <w:t>Tantum Verde Gola</w:t>
      </w:r>
      <w:r>
        <w:rPr>
          <w:sz w:val="22"/>
          <w:szCs w:val="22"/>
        </w:rPr>
        <w:t>.</w:t>
      </w:r>
    </w:p>
    <w:p w14:paraId="5D155B6D" w14:textId="77777777" w:rsidR="0062135B" w:rsidRDefault="0062135B" w:rsidP="0062135B">
      <w:pPr>
        <w:rPr>
          <w:bCs/>
          <w:sz w:val="22"/>
          <w:szCs w:val="22"/>
        </w:rPr>
      </w:pPr>
      <w:r w:rsidRPr="00F34762">
        <w:rPr>
          <w:bCs/>
          <w:sz w:val="22"/>
          <w:szCs w:val="22"/>
        </w:rPr>
        <w:t xml:space="preserve">Se è in corso una gravidanza o se sta allattando con latte materno, se sospetta o sta pianificando una gravidanza, chieda consiglio al medico o al farmacista prima di prendere questo medicinale. </w:t>
      </w:r>
      <w:r w:rsidRPr="00C76C0B">
        <w:rPr>
          <w:b/>
          <w:bCs/>
          <w:sz w:val="22"/>
          <w:szCs w:val="22"/>
        </w:rPr>
        <w:t>Non</w:t>
      </w:r>
      <w:r w:rsidRPr="00F34762">
        <w:rPr>
          <w:bCs/>
          <w:sz w:val="22"/>
          <w:szCs w:val="22"/>
        </w:rPr>
        <w:t xml:space="preserve"> prenda Tantum Verde Gola negli </w:t>
      </w:r>
      <w:r w:rsidRPr="00C76C0B">
        <w:rPr>
          <w:b/>
          <w:bCs/>
          <w:sz w:val="22"/>
          <w:szCs w:val="22"/>
        </w:rPr>
        <w:t>ultimi tre mesi di gravidanza</w:t>
      </w:r>
      <w:r w:rsidRPr="00F34762">
        <w:rPr>
          <w:bCs/>
          <w:sz w:val="22"/>
          <w:szCs w:val="22"/>
        </w:rPr>
        <w:t xml:space="preserve">. Non prenda Tantum Verde Gola nei </w:t>
      </w:r>
      <w:r w:rsidRPr="00C76C0B">
        <w:rPr>
          <w:b/>
          <w:bCs/>
          <w:sz w:val="22"/>
          <w:szCs w:val="22"/>
        </w:rPr>
        <w:t xml:space="preserve">primi </w:t>
      </w:r>
      <w:proofErr w:type="gramStart"/>
      <w:r w:rsidRPr="00C76C0B">
        <w:rPr>
          <w:b/>
          <w:bCs/>
          <w:sz w:val="22"/>
          <w:szCs w:val="22"/>
        </w:rPr>
        <w:t>6</w:t>
      </w:r>
      <w:proofErr w:type="gramEnd"/>
      <w:r w:rsidRPr="00C76C0B">
        <w:rPr>
          <w:b/>
          <w:bCs/>
          <w:sz w:val="22"/>
          <w:szCs w:val="22"/>
        </w:rPr>
        <w:t xml:space="preserve"> mesi di gravidanza</w:t>
      </w:r>
      <w:r w:rsidRPr="00F34762">
        <w:rPr>
          <w:bCs/>
          <w:sz w:val="22"/>
          <w:szCs w:val="22"/>
        </w:rPr>
        <w:t xml:space="preserve"> se non in </w:t>
      </w:r>
      <w:r w:rsidRPr="00F34762">
        <w:rPr>
          <w:bCs/>
          <w:sz w:val="22"/>
          <w:szCs w:val="22"/>
        </w:rPr>
        <w:lastRenderedPageBreak/>
        <w:t>caso di assoluta necessità e su indicazione del medico. In caso di necessità di trattamento durante tale periodo, deve assumere la dose minima per il più breve tempo possibile.</w:t>
      </w:r>
    </w:p>
    <w:p w14:paraId="2837A546" w14:textId="77777777" w:rsidR="0062135B" w:rsidRPr="00003F98" w:rsidRDefault="0062135B" w:rsidP="0062135B">
      <w:pPr>
        <w:jc w:val="both"/>
        <w:rPr>
          <w:bCs/>
          <w:sz w:val="22"/>
          <w:szCs w:val="22"/>
        </w:rPr>
      </w:pPr>
    </w:p>
    <w:p w14:paraId="79CC366F" w14:textId="77777777" w:rsidR="0062135B" w:rsidRPr="00003F98" w:rsidRDefault="0062135B" w:rsidP="0062135B">
      <w:pPr>
        <w:rPr>
          <w:b/>
          <w:sz w:val="22"/>
          <w:szCs w:val="22"/>
        </w:rPr>
      </w:pPr>
      <w:r w:rsidRPr="00003F98">
        <w:rPr>
          <w:b/>
          <w:sz w:val="22"/>
          <w:szCs w:val="22"/>
        </w:rPr>
        <w:t>Guida di veicoli e utilizzo di macchinari</w:t>
      </w:r>
    </w:p>
    <w:p w14:paraId="2A512F85" w14:textId="77777777" w:rsidR="0062135B" w:rsidRPr="00385453" w:rsidRDefault="0062135B" w:rsidP="0062135B">
      <w:pPr>
        <w:widowControl w:val="0"/>
        <w:rPr>
          <w:sz w:val="22"/>
          <w:szCs w:val="22"/>
        </w:rPr>
      </w:pPr>
      <w:r w:rsidRPr="00385453">
        <w:rPr>
          <w:sz w:val="22"/>
          <w:szCs w:val="22"/>
        </w:rPr>
        <w:t>Sonnolenza, disturbi della vista, capogiri, affaticamento e vertigini possono verificarsi in seguito all’uso di</w:t>
      </w:r>
    </w:p>
    <w:p w14:paraId="0798CA13" w14:textId="77777777" w:rsidR="0062135B" w:rsidRDefault="0062135B" w:rsidP="0062135B">
      <w:pPr>
        <w:widowControl w:val="0"/>
        <w:rPr>
          <w:sz w:val="22"/>
          <w:szCs w:val="22"/>
        </w:rPr>
      </w:pPr>
      <w:r w:rsidRPr="00385453">
        <w:rPr>
          <w:sz w:val="22"/>
          <w:szCs w:val="22"/>
        </w:rPr>
        <w:t>FANS. Se questi effetti indesiderati si verificano, non guidi e non usi macchinari</w:t>
      </w:r>
    </w:p>
    <w:p w14:paraId="0B8CFCB1" w14:textId="77777777" w:rsidR="0062135B" w:rsidRPr="00003F98" w:rsidRDefault="0062135B" w:rsidP="0062135B">
      <w:pPr>
        <w:widowControl w:val="0"/>
        <w:rPr>
          <w:sz w:val="22"/>
          <w:szCs w:val="22"/>
        </w:rPr>
      </w:pPr>
    </w:p>
    <w:p w14:paraId="3AC6D836" w14:textId="77777777" w:rsidR="0062135B" w:rsidRPr="00A30FD7" w:rsidRDefault="0062135B" w:rsidP="0062135B">
      <w:pPr>
        <w:rPr>
          <w:sz w:val="22"/>
          <w:szCs w:val="22"/>
        </w:rPr>
      </w:pPr>
      <w:r w:rsidRPr="00EB4B6A">
        <w:rPr>
          <w:sz w:val="22"/>
          <w:szCs w:val="22"/>
        </w:rPr>
        <w:t>Tantum Verde Gola contiene:</w:t>
      </w:r>
      <w:r w:rsidRPr="00A30FD7">
        <w:rPr>
          <w:sz w:val="22"/>
          <w:szCs w:val="22"/>
        </w:rPr>
        <w:t xml:space="preserve"> </w:t>
      </w:r>
    </w:p>
    <w:p w14:paraId="1A2505C9" w14:textId="77777777" w:rsidR="001C2CC9" w:rsidRDefault="0062135B" w:rsidP="001C2CC9">
      <w:pPr>
        <w:rPr>
          <w:sz w:val="22"/>
          <w:szCs w:val="22"/>
        </w:rPr>
      </w:pPr>
      <w:r w:rsidRPr="00A30FD7">
        <w:rPr>
          <w:sz w:val="22"/>
          <w:szCs w:val="22"/>
        </w:rPr>
        <w:t>-</w:t>
      </w:r>
      <w:r w:rsidRPr="00A30FD7">
        <w:rPr>
          <w:sz w:val="22"/>
          <w:szCs w:val="22"/>
        </w:rPr>
        <w:tab/>
      </w:r>
      <w:r w:rsidRPr="00EB4B6A">
        <w:rPr>
          <w:b/>
          <w:bCs/>
          <w:sz w:val="22"/>
          <w:szCs w:val="22"/>
        </w:rPr>
        <w:t xml:space="preserve">sodio benzoato: </w:t>
      </w:r>
      <w:r w:rsidRPr="00A30FD7">
        <w:rPr>
          <w:sz w:val="22"/>
          <w:szCs w:val="22"/>
        </w:rPr>
        <w:t>Questo medicinale contiene 0,3 mg di sodio benzoato per dose equivalente a 0,3 mg/0,2 ml. Il Sodio benzoato può causare irritazione locale</w:t>
      </w:r>
    </w:p>
    <w:p w14:paraId="15683C19" w14:textId="20F91417" w:rsidR="001C2CC9" w:rsidRDefault="001C2CC9" w:rsidP="001C2CC9">
      <w:pPr>
        <w:rPr>
          <w:sz w:val="22"/>
          <w:szCs w:val="22"/>
        </w:rPr>
      </w:pPr>
      <w:r>
        <w:rPr>
          <w:sz w:val="22"/>
          <w:szCs w:val="22"/>
        </w:rPr>
        <w:t>-</w:t>
      </w:r>
      <w:r>
        <w:rPr>
          <w:sz w:val="22"/>
          <w:szCs w:val="22"/>
        </w:rPr>
        <w:tab/>
      </w:r>
      <w:r w:rsidRPr="001C2CC9">
        <w:rPr>
          <w:b/>
          <w:bCs/>
          <w:sz w:val="22"/>
          <w:szCs w:val="22"/>
        </w:rPr>
        <w:t xml:space="preserve">olio di ricino </w:t>
      </w:r>
      <w:proofErr w:type="spellStart"/>
      <w:r w:rsidRPr="001C2CC9">
        <w:rPr>
          <w:b/>
          <w:bCs/>
          <w:sz w:val="22"/>
          <w:szCs w:val="22"/>
        </w:rPr>
        <w:t>poliossidrato</w:t>
      </w:r>
      <w:proofErr w:type="spellEnd"/>
      <w:r w:rsidRPr="001C2CC9">
        <w:rPr>
          <w:b/>
          <w:bCs/>
          <w:sz w:val="22"/>
          <w:szCs w:val="22"/>
        </w:rPr>
        <w:t xml:space="preserve"> idrogenato: </w:t>
      </w:r>
      <w:r w:rsidRPr="001C2CC9">
        <w:rPr>
          <w:sz w:val="22"/>
          <w:szCs w:val="22"/>
        </w:rPr>
        <w:t>può causare reazioni sulla pelle localizzate;</w:t>
      </w:r>
    </w:p>
    <w:p w14:paraId="2259CD31" w14:textId="734420B4" w:rsidR="001C2CC9" w:rsidRPr="00A30FD7" w:rsidRDefault="001C2CC9" w:rsidP="0062135B">
      <w:pPr>
        <w:rPr>
          <w:sz w:val="22"/>
          <w:szCs w:val="22"/>
        </w:rPr>
      </w:pPr>
      <w:r>
        <w:rPr>
          <w:sz w:val="22"/>
          <w:szCs w:val="22"/>
        </w:rPr>
        <w:t>-</w:t>
      </w:r>
      <w:r>
        <w:rPr>
          <w:sz w:val="22"/>
          <w:szCs w:val="22"/>
        </w:rPr>
        <w:tab/>
      </w:r>
      <w:r w:rsidRPr="001C2CC9">
        <w:rPr>
          <w:b/>
          <w:bCs/>
          <w:sz w:val="22"/>
          <w:szCs w:val="22"/>
        </w:rPr>
        <w:t>etanolo:</w:t>
      </w:r>
      <w:r w:rsidRPr="001C2CC9">
        <w:rPr>
          <w:sz w:val="22"/>
          <w:szCs w:val="22"/>
        </w:rPr>
        <w:t xml:space="preserve"> questo medicinale contiene 960 mg di alcol (etanolo) in ogni dose (10 ml) che è equivalente a </w:t>
      </w:r>
      <w:proofErr w:type="spellStart"/>
      <w:r w:rsidRPr="001C2CC9">
        <w:rPr>
          <w:sz w:val="22"/>
          <w:szCs w:val="22"/>
        </w:rPr>
        <w:t>a</w:t>
      </w:r>
      <w:proofErr w:type="spellEnd"/>
      <w:r w:rsidRPr="001C2CC9">
        <w:rPr>
          <w:sz w:val="22"/>
          <w:szCs w:val="22"/>
        </w:rPr>
        <w:t xml:space="preserve"> 96 mg/ml. Può causare sensazione di bruciore sulla pelle danneggiata;</w:t>
      </w:r>
    </w:p>
    <w:p w14:paraId="48ECA271" w14:textId="5682B0E9" w:rsidR="0062135B" w:rsidRPr="00911F91" w:rsidRDefault="0062135B" w:rsidP="00EB4B6A">
      <w:pPr>
        <w:rPr>
          <w:sz w:val="22"/>
          <w:szCs w:val="22"/>
        </w:rPr>
      </w:pPr>
      <w:r w:rsidRPr="00A30FD7">
        <w:rPr>
          <w:sz w:val="22"/>
          <w:szCs w:val="22"/>
        </w:rPr>
        <w:t>-</w:t>
      </w:r>
      <w:r w:rsidRPr="00A30FD7">
        <w:rPr>
          <w:sz w:val="22"/>
          <w:szCs w:val="22"/>
        </w:rPr>
        <w:tab/>
      </w:r>
      <w:r w:rsidRPr="00EB4B6A">
        <w:rPr>
          <w:b/>
          <w:bCs/>
          <w:sz w:val="22"/>
          <w:szCs w:val="22"/>
        </w:rPr>
        <w:t>aroma menta:</w:t>
      </w:r>
      <w:r>
        <w:rPr>
          <w:sz w:val="22"/>
          <w:szCs w:val="22"/>
        </w:rPr>
        <w:t xml:space="preserve"> </w:t>
      </w:r>
      <w:r w:rsidRPr="00A30FD7">
        <w:rPr>
          <w:sz w:val="22"/>
          <w:szCs w:val="22"/>
        </w:rPr>
        <w:t>Questo medicinale contiene</w:t>
      </w:r>
      <w:r>
        <w:rPr>
          <w:sz w:val="22"/>
          <w:szCs w:val="22"/>
        </w:rPr>
        <w:t xml:space="preserve"> </w:t>
      </w:r>
      <w:r w:rsidRPr="00A30FD7">
        <w:rPr>
          <w:sz w:val="22"/>
          <w:szCs w:val="22"/>
        </w:rPr>
        <w:t>aroma menta</w:t>
      </w:r>
      <w:bookmarkStart w:id="39" w:name="_Hlk94621887"/>
      <w:r w:rsidRPr="00911F91">
        <w:rPr>
          <w:sz w:val="22"/>
          <w:szCs w:val="22"/>
        </w:rPr>
        <w:t xml:space="preserve"> che a sua volta contiene:</w:t>
      </w:r>
      <w:bookmarkEnd w:id="39"/>
      <w:r w:rsidRPr="00911F91">
        <w:rPr>
          <w:sz w:val="22"/>
          <w:szCs w:val="22"/>
        </w:rPr>
        <w:t xml:space="preserve"> alcol </w:t>
      </w:r>
      <w:proofErr w:type="spellStart"/>
      <w:r w:rsidRPr="00911F91">
        <w:rPr>
          <w:sz w:val="22"/>
          <w:szCs w:val="22"/>
        </w:rPr>
        <w:t>anisilico</w:t>
      </w:r>
      <w:proofErr w:type="spellEnd"/>
      <w:r w:rsidRPr="00911F91">
        <w:rPr>
          <w:sz w:val="22"/>
          <w:szCs w:val="22"/>
        </w:rPr>
        <w:t xml:space="preserve">, </w:t>
      </w:r>
      <w:proofErr w:type="spellStart"/>
      <w:r w:rsidRPr="00911F91">
        <w:rPr>
          <w:sz w:val="22"/>
          <w:szCs w:val="22"/>
        </w:rPr>
        <w:t>cinnammale</w:t>
      </w:r>
      <w:proofErr w:type="spellEnd"/>
      <w:r w:rsidRPr="00911F91">
        <w:rPr>
          <w:sz w:val="22"/>
          <w:szCs w:val="22"/>
        </w:rPr>
        <w:t xml:space="preserve">, alcool </w:t>
      </w:r>
      <w:proofErr w:type="spellStart"/>
      <w:r w:rsidRPr="00911F91">
        <w:rPr>
          <w:sz w:val="22"/>
          <w:szCs w:val="22"/>
        </w:rPr>
        <w:t>cinnamilico</w:t>
      </w:r>
      <w:proofErr w:type="spellEnd"/>
      <w:r w:rsidRPr="00911F91">
        <w:rPr>
          <w:sz w:val="22"/>
          <w:szCs w:val="22"/>
        </w:rPr>
        <w:t xml:space="preserve">, D-limonene, eugenolo, farnesolo, geraniolo e </w:t>
      </w:r>
      <w:proofErr w:type="spellStart"/>
      <w:r w:rsidRPr="00911F91">
        <w:rPr>
          <w:sz w:val="22"/>
          <w:szCs w:val="22"/>
        </w:rPr>
        <w:t>linalolo</w:t>
      </w:r>
      <w:bookmarkStart w:id="40" w:name="_Hlk94623094"/>
      <w:r w:rsidRPr="00911F91">
        <w:rPr>
          <w:sz w:val="22"/>
          <w:szCs w:val="22"/>
        </w:rPr>
        <w:t>L</w:t>
      </w:r>
      <w:proofErr w:type="spellEnd"/>
      <w:r w:rsidRPr="00911F91">
        <w:rPr>
          <w:sz w:val="22"/>
          <w:szCs w:val="22"/>
        </w:rPr>
        <w:t xml:space="preserve">’ alcol </w:t>
      </w:r>
      <w:proofErr w:type="spellStart"/>
      <w:r w:rsidRPr="00911F91">
        <w:rPr>
          <w:sz w:val="22"/>
          <w:szCs w:val="22"/>
        </w:rPr>
        <w:t>anisilico</w:t>
      </w:r>
      <w:proofErr w:type="spellEnd"/>
      <w:r w:rsidRPr="00911F91">
        <w:rPr>
          <w:sz w:val="22"/>
          <w:szCs w:val="22"/>
        </w:rPr>
        <w:t xml:space="preserve">, il </w:t>
      </w:r>
      <w:proofErr w:type="spellStart"/>
      <w:r w:rsidRPr="00911F91">
        <w:rPr>
          <w:sz w:val="22"/>
          <w:szCs w:val="22"/>
        </w:rPr>
        <w:t>cinnammale</w:t>
      </w:r>
      <w:proofErr w:type="spellEnd"/>
      <w:r w:rsidRPr="00911F91">
        <w:rPr>
          <w:sz w:val="22"/>
          <w:szCs w:val="22"/>
        </w:rPr>
        <w:t xml:space="preserve">, l’alcool </w:t>
      </w:r>
      <w:proofErr w:type="spellStart"/>
      <w:r w:rsidRPr="00911F91">
        <w:rPr>
          <w:sz w:val="22"/>
          <w:szCs w:val="22"/>
        </w:rPr>
        <w:t>cinnamilico</w:t>
      </w:r>
      <w:proofErr w:type="spellEnd"/>
      <w:r w:rsidRPr="00911F91">
        <w:rPr>
          <w:sz w:val="22"/>
          <w:szCs w:val="22"/>
        </w:rPr>
        <w:t xml:space="preserve">, il D-limonene, l’eugenolo, il farnesolo, il geraniolo e il </w:t>
      </w:r>
      <w:proofErr w:type="spellStart"/>
      <w:r w:rsidRPr="00911F91">
        <w:rPr>
          <w:sz w:val="22"/>
          <w:szCs w:val="22"/>
        </w:rPr>
        <w:t>linalolo</w:t>
      </w:r>
      <w:proofErr w:type="spellEnd"/>
      <w:r w:rsidRPr="00911F91">
        <w:rPr>
          <w:sz w:val="22"/>
          <w:szCs w:val="22"/>
        </w:rPr>
        <w:t xml:space="preserve"> </w:t>
      </w:r>
      <w:bookmarkEnd w:id="40"/>
      <w:r w:rsidRPr="00911F91">
        <w:rPr>
          <w:sz w:val="22"/>
          <w:szCs w:val="22"/>
        </w:rPr>
        <w:t>possono causare reazioni allergiche.</w:t>
      </w:r>
    </w:p>
    <w:p w14:paraId="3920ABCF" w14:textId="77777777" w:rsidR="0062135B" w:rsidRDefault="0062135B" w:rsidP="0062135B">
      <w:pPr>
        <w:rPr>
          <w:sz w:val="22"/>
          <w:szCs w:val="22"/>
        </w:rPr>
      </w:pPr>
    </w:p>
    <w:p w14:paraId="356BE71C" w14:textId="77777777" w:rsidR="0062135B" w:rsidRPr="00003F98" w:rsidRDefault="0062135B" w:rsidP="0062135B">
      <w:pPr>
        <w:rPr>
          <w:sz w:val="22"/>
          <w:szCs w:val="22"/>
        </w:rPr>
      </w:pPr>
    </w:p>
    <w:p w14:paraId="078DFEE2" w14:textId="77777777" w:rsidR="0062135B" w:rsidRPr="00003F98" w:rsidRDefault="0062135B" w:rsidP="0062135B">
      <w:pPr>
        <w:ind w:left="567" w:right="-2" w:hanging="567"/>
        <w:rPr>
          <w:b/>
          <w:sz w:val="22"/>
          <w:szCs w:val="22"/>
        </w:rPr>
      </w:pPr>
      <w:r w:rsidRPr="00003F98">
        <w:rPr>
          <w:b/>
          <w:noProof/>
          <w:sz w:val="22"/>
          <w:szCs w:val="22"/>
        </w:rPr>
        <w:t>3.</w:t>
      </w:r>
      <w:r w:rsidRPr="00003F98">
        <w:rPr>
          <w:b/>
          <w:noProof/>
          <w:sz w:val="22"/>
          <w:szCs w:val="22"/>
        </w:rPr>
        <w:tab/>
        <w:t xml:space="preserve">Come </w:t>
      </w:r>
      <w:r>
        <w:rPr>
          <w:b/>
          <w:noProof/>
          <w:sz w:val="22"/>
          <w:szCs w:val="22"/>
        </w:rPr>
        <w:t>usare</w:t>
      </w:r>
      <w:r w:rsidRPr="00003F98">
        <w:rPr>
          <w:b/>
          <w:sz w:val="22"/>
          <w:szCs w:val="22"/>
        </w:rPr>
        <w:t xml:space="preserve"> Tantum Verde Gola</w:t>
      </w:r>
    </w:p>
    <w:p w14:paraId="6D77D22E" w14:textId="77777777" w:rsidR="0062135B" w:rsidRPr="00003F98" w:rsidRDefault="0062135B" w:rsidP="0062135B">
      <w:pPr>
        <w:ind w:right="-2"/>
        <w:rPr>
          <w:noProof/>
          <w:sz w:val="22"/>
          <w:szCs w:val="22"/>
        </w:rPr>
      </w:pPr>
      <w:r w:rsidRPr="00003F98">
        <w:rPr>
          <w:noProof/>
          <w:sz w:val="22"/>
          <w:szCs w:val="22"/>
        </w:rPr>
        <w:t>Prenda questo medicinale seguendo sempre esattamente quanto riportato in questo foglio o le istruzioni del medico o del farmacista. Se ha dubbi consulti il medico o il farmacista.</w:t>
      </w:r>
    </w:p>
    <w:p w14:paraId="28C723C0" w14:textId="77777777" w:rsidR="0062135B" w:rsidRPr="00003F98" w:rsidRDefault="0062135B" w:rsidP="0062135B">
      <w:pPr>
        <w:widowControl w:val="0"/>
        <w:jc w:val="both"/>
        <w:rPr>
          <w:b/>
          <w:sz w:val="22"/>
          <w:szCs w:val="22"/>
          <w:u w:val="single"/>
        </w:rPr>
      </w:pPr>
    </w:p>
    <w:p w14:paraId="7AB34C19" w14:textId="77777777" w:rsidR="0062135B" w:rsidRPr="00003F98" w:rsidRDefault="0062135B" w:rsidP="0062135B">
      <w:pPr>
        <w:widowControl w:val="0"/>
        <w:jc w:val="both"/>
        <w:rPr>
          <w:b/>
          <w:sz w:val="22"/>
          <w:szCs w:val="22"/>
          <w:u w:val="single"/>
        </w:rPr>
      </w:pPr>
      <w:r w:rsidRPr="00003F98">
        <w:rPr>
          <w:b/>
          <w:sz w:val="22"/>
          <w:szCs w:val="22"/>
          <w:u w:val="single"/>
        </w:rPr>
        <w:t>Quanto</w:t>
      </w:r>
    </w:p>
    <w:p w14:paraId="52B81BE3" w14:textId="5EA23B4F" w:rsidR="0062135B" w:rsidRPr="00003F98" w:rsidRDefault="0062135B" w:rsidP="0062135B">
      <w:pPr>
        <w:ind w:right="51"/>
        <w:jc w:val="both"/>
        <w:rPr>
          <w:sz w:val="22"/>
          <w:szCs w:val="22"/>
        </w:rPr>
      </w:pPr>
      <w:r w:rsidRPr="00003F98">
        <w:rPr>
          <w:sz w:val="22"/>
          <w:szCs w:val="22"/>
        </w:rPr>
        <w:t xml:space="preserve">2-3 </w:t>
      </w:r>
      <w:r>
        <w:rPr>
          <w:sz w:val="22"/>
          <w:szCs w:val="22"/>
        </w:rPr>
        <w:t xml:space="preserve">sciacqui o </w:t>
      </w:r>
      <w:r w:rsidRPr="00003F98">
        <w:rPr>
          <w:sz w:val="22"/>
          <w:szCs w:val="22"/>
        </w:rPr>
        <w:t>gargarismi al giorno con 10 ml di collutorio</w:t>
      </w:r>
      <w:r>
        <w:rPr>
          <w:sz w:val="22"/>
          <w:szCs w:val="22"/>
        </w:rPr>
        <w:t xml:space="preserve"> </w:t>
      </w:r>
      <w:r w:rsidRPr="00A12965">
        <w:rPr>
          <w:sz w:val="22"/>
          <w:szCs w:val="22"/>
        </w:rPr>
        <w:t>puro o diluito in</w:t>
      </w:r>
      <w:r w:rsidR="00046791">
        <w:rPr>
          <w:sz w:val="22"/>
          <w:szCs w:val="22"/>
        </w:rPr>
        <w:t xml:space="preserve"> </w:t>
      </w:r>
      <w:r w:rsidRPr="00A12965">
        <w:rPr>
          <w:sz w:val="22"/>
          <w:szCs w:val="22"/>
        </w:rPr>
        <w:t xml:space="preserve">poca acqua, </w:t>
      </w:r>
      <w:r w:rsidRPr="00A12965">
        <w:rPr>
          <w:b/>
          <w:bCs/>
          <w:sz w:val="22"/>
          <w:szCs w:val="22"/>
        </w:rPr>
        <w:t xml:space="preserve">senza ingerire il medicinale. </w:t>
      </w:r>
      <w:r w:rsidRPr="00A12965">
        <w:rPr>
          <w:sz w:val="22"/>
          <w:szCs w:val="22"/>
        </w:rPr>
        <w:t>Utilizzi questo medicinale per un massimo di tre giorni</w:t>
      </w:r>
      <w:r w:rsidRPr="00003F98">
        <w:rPr>
          <w:sz w:val="22"/>
          <w:szCs w:val="22"/>
        </w:rPr>
        <w:t xml:space="preserve">. </w:t>
      </w:r>
    </w:p>
    <w:p w14:paraId="7C12C7E6" w14:textId="77777777" w:rsidR="0062135B" w:rsidRDefault="0062135B" w:rsidP="0062135B">
      <w:pPr>
        <w:widowControl w:val="0"/>
        <w:jc w:val="both"/>
        <w:rPr>
          <w:sz w:val="22"/>
          <w:szCs w:val="22"/>
          <w:u w:val="single"/>
        </w:rPr>
      </w:pPr>
    </w:p>
    <w:p w14:paraId="778BCD18" w14:textId="77777777" w:rsidR="0062135B" w:rsidRPr="00003F98" w:rsidRDefault="0062135B" w:rsidP="0062135B">
      <w:pPr>
        <w:widowControl w:val="0"/>
        <w:jc w:val="both"/>
        <w:rPr>
          <w:sz w:val="22"/>
          <w:szCs w:val="22"/>
        </w:rPr>
      </w:pPr>
      <w:r w:rsidRPr="00046791">
        <w:rPr>
          <w:sz w:val="22"/>
          <w:szCs w:val="22"/>
        </w:rPr>
        <w:t>N</w:t>
      </w:r>
      <w:r w:rsidRPr="00003F98">
        <w:rPr>
          <w:sz w:val="22"/>
          <w:szCs w:val="22"/>
        </w:rPr>
        <w:t xml:space="preserve">on </w:t>
      </w:r>
      <w:r>
        <w:rPr>
          <w:sz w:val="22"/>
          <w:szCs w:val="22"/>
        </w:rPr>
        <w:t xml:space="preserve">usi TANTUM VERDE GOLA per periodi prolungati e non </w:t>
      </w:r>
      <w:r w:rsidRPr="00003F98">
        <w:rPr>
          <w:sz w:val="22"/>
          <w:szCs w:val="22"/>
        </w:rPr>
        <w:t xml:space="preserve">superi le dosi </w:t>
      </w:r>
      <w:r>
        <w:rPr>
          <w:sz w:val="22"/>
          <w:szCs w:val="22"/>
        </w:rPr>
        <w:t>consigliate.</w:t>
      </w:r>
      <w:r w:rsidRPr="00A12965">
        <w:rPr>
          <w:sz w:val="22"/>
          <w:szCs w:val="22"/>
        </w:rPr>
        <w:t xml:space="preserve"> </w:t>
      </w:r>
      <w:r>
        <w:rPr>
          <w:sz w:val="22"/>
          <w:szCs w:val="22"/>
        </w:rPr>
        <w:t>S</w:t>
      </w:r>
      <w:r w:rsidRPr="009F71EB">
        <w:rPr>
          <w:sz w:val="22"/>
          <w:szCs w:val="22"/>
        </w:rPr>
        <w:t>i rivolga al medico se</w:t>
      </w:r>
      <w:r>
        <w:rPr>
          <w:sz w:val="22"/>
          <w:szCs w:val="22"/>
        </w:rPr>
        <w:t xml:space="preserve"> </w:t>
      </w:r>
      <w:r w:rsidRPr="009F71EB">
        <w:rPr>
          <w:sz w:val="22"/>
          <w:szCs w:val="22"/>
        </w:rPr>
        <w:t>non si sente meglio o si sente peggio dopo un breve periodo di trattamento.</w:t>
      </w:r>
    </w:p>
    <w:p w14:paraId="49480C60" w14:textId="77777777" w:rsidR="0062135B" w:rsidRPr="00003F98" w:rsidRDefault="0062135B" w:rsidP="0062135B">
      <w:pPr>
        <w:widowControl w:val="0"/>
        <w:jc w:val="both"/>
        <w:rPr>
          <w:b/>
          <w:sz w:val="22"/>
          <w:szCs w:val="22"/>
          <w:u w:val="single"/>
        </w:rPr>
      </w:pPr>
    </w:p>
    <w:p w14:paraId="6C0FA60D" w14:textId="77777777" w:rsidR="0062135B" w:rsidRPr="00003F98" w:rsidRDefault="0062135B" w:rsidP="0062135B">
      <w:pPr>
        <w:ind w:right="-2"/>
        <w:rPr>
          <w:noProof/>
          <w:sz w:val="22"/>
          <w:szCs w:val="22"/>
        </w:rPr>
      </w:pPr>
      <w:r w:rsidRPr="00F34762">
        <w:rPr>
          <w:noProof/>
          <w:sz w:val="22"/>
          <w:szCs w:val="22"/>
        </w:rPr>
        <w:t>Deve essere utilizzata la minima dose efficace per il minor tempo necessario al fine di alleviare i sintomi. Se ha un’infezione, si rivolga immediatamente al medico o al farmacista se i sintomi (come febbre e dolore) persistono o peggiorano (fare riferimento al paragrafo 2).</w:t>
      </w:r>
    </w:p>
    <w:p w14:paraId="2F621F22" w14:textId="77777777" w:rsidR="0062135B" w:rsidRDefault="0062135B" w:rsidP="0062135B">
      <w:pPr>
        <w:widowControl w:val="0"/>
        <w:jc w:val="both"/>
        <w:rPr>
          <w:b/>
          <w:sz w:val="22"/>
          <w:szCs w:val="22"/>
          <w:u w:val="single"/>
        </w:rPr>
      </w:pPr>
    </w:p>
    <w:p w14:paraId="62513018" w14:textId="77777777" w:rsidR="0062135B" w:rsidRPr="009F71EB" w:rsidRDefault="0062135B" w:rsidP="0062135B">
      <w:pPr>
        <w:widowControl w:val="0"/>
        <w:jc w:val="both"/>
        <w:rPr>
          <w:b/>
          <w:bCs/>
          <w:sz w:val="22"/>
          <w:szCs w:val="22"/>
        </w:rPr>
      </w:pPr>
      <w:r w:rsidRPr="009F71EB">
        <w:rPr>
          <w:b/>
          <w:bCs/>
          <w:sz w:val="22"/>
          <w:szCs w:val="22"/>
        </w:rPr>
        <w:t>Uso nei bambini e negli adolescenti</w:t>
      </w:r>
    </w:p>
    <w:p w14:paraId="5FAEF344" w14:textId="77777777" w:rsidR="0062135B" w:rsidRDefault="0062135B" w:rsidP="0062135B">
      <w:pPr>
        <w:widowControl w:val="0"/>
        <w:jc w:val="both"/>
        <w:rPr>
          <w:b/>
          <w:bCs/>
          <w:sz w:val="22"/>
          <w:szCs w:val="22"/>
        </w:rPr>
      </w:pPr>
      <w:r w:rsidRPr="009F71EB">
        <w:rPr>
          <w:b/>
          <w:bCs/>
          <w:sz w:val="22"/>
          <w:szCs w:val="22"/>
        </w:rPr>
        <w:t xml:space="preserve">Non sono disponibili dati in merito e pertanto l’utilizzo di </w:t>
      </w:r>
      <w:r w:rsidRPr="00647163">
        <w:rPr>
          <w:b/>
          <w:bCs/>
          <w:sz w:val="22"/>
          <w:szCs w:val="22"/>
        </w:rPr>
        <w:t>Tantum Verde Gola</w:t>
      </w:r>
      <w:r w:rsidRPr="00003F98">
        <w:rPr>
          <w:sz w:val="22"/>
          <w:szCs w:val="22"/>
        </w:rPr>
        <w:t xml:space="preserve"> </w:t>
      </w:r>
      <w:r w:rsidRPr="009F71EB">
        <w:rPr>
          <w:b/>
          <w:bCs/>
          <w:sz w:val="22"/>
          <w:szCs w:val="22"/>
        </w:rPr>
        <w:t>nella popolazione</w:t>
      </w:r>
      <w:r>
        <w:rPr>
          <w:b/>
          <w:bCs/>
          <w:sz w:val="22"/>
          <w:szCs w:val="22"/>
        </w:rPr>
        <w:t xml:space="preserve"> </w:t>
      </w:r>
      <w:r w:rsidRPr="009F71EB">
        <w:rPr>
          <w:b/>
          <w:bCs/>
          <w:sz w:val="22"/>
          <w:szCs w:val="22"/>
        </w:rPr>
        <w:t>pediatrica non è raccomandato.</w:t>
      </w:r>
    </w:p>
    <w:p w14:paraId="55B75CC8" w14:textId="77777777" w:rsidR="0062135B" w:rsidRDefault="0062135B" w:rsidP="0062135B">
      <w:pPr>
        <w:widowControl w:val="0"/>
        <w:jc w:val="both"/>
        <w:rPr>
          <w:b/>
          <w:sz w:val="22"/>
          <w:szCs w:val="22"/>
          <w:u w:val="single"/>
        </w:rPr>
      </w:pPr>
    </w:p>
    <w:p w14:paraId="766F3FC4" w14:textId="77777777" w:rsidR="0062135B" w:rsidRPr="00003F98" w:rsidRDefault="0062135B" w:rsidP="0062135B">
      <w:pPr>
        <w:widowControl w:val="0"/>
        <w:jc w:val="both"/>
        <w:rPr>
          <w:b/>
          <w:sz w:val="22"/>
          <w:szCs w:val="22"/>
          <w:u w:val="single"/>
        </w:rPr>
      </w:pPr>
      <w:r>
        <w:rPr>
          <w:b/>
          <w:sz w:val="22"/>
          <w:szCs w:val="22"/>
          <w:u w:val="single"/>
        </w:rPr>
        <w:t>Modo di somministrazione</w:t>
      </w:r>
    </w:p>
    <w:p w14:paraId="24EE3D9D" w14:textId="77777777" w:rsidR="0062135B" w:rsidRDefault="0062135B" w:rsidP="0062135B">
      <w:pPr>
        <w:widowControl w:val="0"/>
        <w:jc w:val="both"/>
        <w:rPr>
          <w:sz w:val="22"/>
          <w:szCs w:val="22"/>
        </w:rPr>
      </w:pPr>
    </w:p>
    <w:p w14:paraId="62BE69CE" w14:textId="77777777" w:rsidR="0062135B" w:rsidRPr="00003F98" w:rsidRDefault="0062135B" w:rsidP="0062135B">
      <w:pPr>
        <w:widowControl w:val="0"/>
        <w:jc w:val="both"/>
        <w:rPr>
          <w:sz w:val="22"/>
          <w:szCs w:val="22"/>
        </w:rPr>
      </w:pPr>
      <w:r w:rsidRPr="00003F98">
        <w:rPr>
          <w:sz w:val="22"/>
          <w:szCs w:val="22"/>
        </w:rPr>
        <w:t xml:space="preserve">Tantum Verde Gola può essere </w:t>
      </w:r>
      <w:r>
        <w:rPr>
          <w:sz w:val="22"/>
          <w:szCs w:val="22"/>
        </w:rPr>
        <w:t xml:space="preserve">utilizzato </w:t>
      </w:r>
      <w:r w:rsidRPr="00003F98">
        <w:rPr>
          <w:sz w:val="22"/>
          <w:szCs w:val="22"/>
        </w:rPr>
        <w:t>in qualsiasi momento della giornata.</w:t>
      </w:r>
    </w:p>
    <w:p w14:paraId="3DEDDF66" w14:textId="77777777" w:rsidR="0062135B" w:rsidRPr="00003F98" w:rsidRDefault="0062135B" w:rsidP="0062135B">
      <w:pPr>
        <w:widowControl w:val="0"/>
        <w:jc w:val="both"/>
        <w:rPr>
          <w:sz w:val="22"/>
          <w:szCs w:val="22"/>
        </w:rPr>
      </w:pPr>
      <w:r>
        <w:rPr>
          <w:sz w:val="22"/>
          <w:szCs w:val="22"/>
        </w:rPr>
        <w:t>L’uso di</w:t>
      </w:r>
      <w:r w:rsidRPr="00003F98">
        <w:rPr>
          <w:sz w:val="22"/>
          <w:szCs w:val="22"/>
        </w:rPr>
        <w:t xml:space="preserve"> Tantum Verde Gola </w:t>
      </w:r>
      <w:r>
        <w:rPr>
          <w:sz w:val="22"/>
          <w:szCs w:val="22"/>
        </w:rPr>
        <w:t>è esclusivamente per uso orale locale e non deve essere ingerito.</w:t>
      </w:r>
      <w:r w:rsidRPr="00003F98">
        <w:rPr>
          <w:sz w:val="22"/>
          <w:szCs w:val="22"/>
        </w:rPr>
        <w:t xml:space="preserve"> </w:t>
      </w:r>
    </w:p>
    <w:p w14:paraId="69A0248B" w14:textId="77777777" w:rsidR="0062135B" w:rsidRPr="00003F98" w:rsidRDefault="0062135B" w:rsidP="0062135B">
      <w:pPr>
        <w:widowControl w:val="0"/>
        <w:jc w:val="both"/>
        <w:rPr>
          <w:sz w:val="22"/>
          <w:szCs w:val="22"/>
        </w:rPr>
      </w:pPr>
    </w:p>
    <w:p w14:paraId="3FA6D631" w14:textId="77777777" w:rsidR="0062135B" w:rsidRPr="00003F98" w:rsidRDefault="0062135B" w:rsidP="0062135B">
      <w:pPr>
        <w:widowControl w:val="0"/>
        <w:jc w:val="both"/>
        <w:rPr>
          <w:sz w:val="22"/>
          <w:szCs w:val="22"/>
        </w:rPr>
      </w:pPr>
    </w:p>
    <w:p w14:paraId="7E73ECA4" w14:textId="77777777" w:rsidR="0062135B" w:rsidRDefault="0062135B" w:rsidP="0062135B">
      <w:pPr>
        <w:ind w:right="98"/>
        <w:jc w:val="both"/>
        <w:rPr>
          <w:sz w:val="22"/>
          <w:szCs w:val="22"/>
        </w:rPr>
      </w:pPr>
      <w:r>
        <w:rPr>
          <w:sz w:val="22"/>
          <w:szCs w:val="22"/>
        </w:rPr>
        <w:t xml:space="preserve">Utilizzi il misurino </w:t>
      </w:r>
      <w:r w:rsidRPr="00003F98">
        <w:rPr>
          <w:sz w:val="22"/>
          <w:szCs w:val="22"/>
        </w:rPr>
        <w:t xml:space="preserve">dosatore </w:t>
      </w:r>
      <w:r>
        <w:rPr>
          <w:sz w:val="22"/>
          <w:szCs w:val="22"/>
        </w:rPr>
        <w:t>che trova nella confezione per misurare la dose corretta.</w:t>
      </w:r>
    </w:p>
    <w:p w14:paraId="404A3D6C" w14:textId="77777777" w:rsidR="0062135B" w:rsidRDefault="0062135B" w:rsidP="0062135B">
      <w:pPr>
        <w:ind w:right="98"/>
        <w:jc w:val="both"/>
        <w:rPr>
          <w:sz w:val="22"/>
          <w:szCs w:val="22"/>
        </w:rPr>
      </w:pPr>
    </w:p>
    <w:p w14:paraId="7B233D29" w14:textId="77777777" w:rsidR="0062135B" w:rsidRPr="007813F9" w:rsidRDefault="0062135B" w:rsidP="0062135B">
      <w:pPr>
        <w:ind w:right="98"/>
        <w:jc w:val="both"/>
        <w:rPr>
          <w:sz w:val="22"/>
          <w:szCs w:val="22"/>
        </w:rPr>
      </w:pPr>
      <w:r w:rsidRPr="007813F9">
        <w:rPr>
          <w:sz w:val="22"/>
          <w:szCs w:val="22"/>
        </w:rPr>
        <w:t xml:space="preserve">L’eventuale deglutizione della dose indicata non comporta particolari rischi, poiché la dose di </w:t>
      </w:r>
      <w:proofErr w:type="spellStart"/>
      <w:r w:rsidRPr="007813F9">
        <w:rPr>
          <w:sz w:val="22"/>
          <w:szCs w:val="22"/>
        </w:rPr>
        <w:t>flurbiprofene</w:t>
      </w:r>
      <w:proofErr w:type="spellEnd"/>
    </w:p>
    <w:p w14:paraId="11EE4170" w14:textId="77777777" w:rsidR="0062135B" w:rsidRPr="00003F98" w:rsidRDefault="0062135B" w:rsidP="0062135B">
      <w:pPr>
        <w:ind w:right="98"/>
        <w:jc w:val="both"/>
        <w:rPr>
          <w:i/>
          <w:sz w:val="22"/>
          <w:szCs w:val="22"/>
          <w:highlight w:val="lightGray"/>
        </w:rPr>
      </w:pPr>
      <w:r w:rsidRPr="007813F9">
        <w:rPr>
          <w:sz w:val="22"/>
          <w:szCs w:val="22"/>
        </w:rPr>
        <w:t>ingerita è molto più bassa rispetto a quella comunemente assunta per via orale.</w:t>
      </w:r>
    </w:p>
    <w:p w14:paraId="7C511CC2" w14:textId="77777777" w:rsidR="0062135B" w:rsidRPr="00003F98" w:rsidRDefault="0062135B" w:rsidP="0062135B">
      <w:pPr>
        <w:jc w:val="both"/>
        <w:rPr>
          <w:b/>
          <w:sz w:val="22"/>
          <w:szCs w:val="22"/>
        </w:rPr>
      </w:pPr>
    </w:p>
    <w:p w14:paraId="4EC92BB9" w14:textId="77777777" w:rsidR="0062135B" w:rsidRPr="00003F98" w:rsidRDefault="0062135B" w:rsidP="0062135B">
      <w:pPr>
        <w:ind w:right="-2"/>
        <w:rPr>
          <w:b/>
          <w:noProof/>
          <w:sz w:val="22"/>
          <w:szCs w:val="22"/>
        </w:rPr>
      </w:pPr>
      <w:r w:rsidRPr="00003F98">
        <w:rPr>
          <w:b/>
          <w:noProof/>
          <w:sz w:val="22"/>
          <w:szCs w:val="22"/>
        </w:rPr>
        <w:t>Se prende più Tantum Verde Gola di quanto deve</w:t>
      </w:r>
    </w:p>
    <w:p w14:paraId="169F2BC1" w14:textId="77777777" w:rsidR="0062135B" w:rsidRPr="00003F98" w:rsidRDefault="0062135B" w:rsidP="0062135B">
      <w:pPr>
        <w:widowControl w:val="0"/>
        <w:jc w:val="both"/>
        <w:rPr>
          <w:sz w:val="22"/>
          <w:szCs w:val="22"/>
        </w:rPr>
      </w:pPr>
      <w:r w:rsidRPr="00003F98">
        <w:rPr>
          <w:sz w:val="22"/>
          <w:szCs w:val="22"/>
        </w:rPr>
        <w:t xml:space="preserve">In caso </w:t>
      </w:r>
      <w:r>
        <w:rPr>
          <w:sz w:val="22"/>
          <w:szCs w:val="22"/>
        </w:rPr>
        <w:t>di ingestione</w:t>
      </w:r>
      <w:r w:rsidRPr="00003F98">
        <w:rPr>
          <w:sz w:val="22"/>
          <w:szCs w:val="22"/>
        </w:rPr>
        <w:t xml:space="preserve"> accidentale </w:t>
      </w:r>
      <w:r>
        <w:rPr>
          <w:sz w:val="22"/>
          <w:szCs w:val="22"/>
        </w:rPr>
        <w:t xml:space="preserve">di </w:t>
      </w:r>
      <w:r w:rsidRPr="00003F98">
        <w:rPr>
          <w:sz w:val="22"/>
          <w:szCs w:val="22"/>
        </w:rPr>
        <w:t xml:space="preserve">una dose eccessiva di Tantum Verde Gola, avverta immediatamente il medico o si rivolga al più vicino ospedale. </w:t>
      </w:r>
      <w:r w:rsidRPr="0070741C">
        <w:rPr>
          <w:sz w:val="22"/>
          <w:szCs w:val="22"/>
        </w:rPr>
        <w:t>Ricordi di portare con sé la sua confezione di Tantum Verde Gola</w:t>
      </w:r>
      <w:r>
        <w:rPr>
          <w:sz w:val="22"/>
          <w:szCs w:val="22"/>
        </w:rPr>
        <w:t>.</w:t>
      </w:r>
    </w:p>
    <w:p w14:paraId="735E52E4" w14:textId="77777777" w:rsidR="0062135B" w:rsidRPr="00003F98" w:rsidRDefault="0062135B" w:rsidP="0062135B">
      <w:pPr>
        <w:ind w:right="96"/>
        <w:jc w:val="both"/>
        <w:rPr>
          <w:noProof/>
          <w:sz w:val="22"/>
          <w:szCs w:val="22"/>
        </w:rPr>
      </w:pPr>
    </w:p>
    <w:p w14:paraId="049EF57C" w14:textId="77777777" w:rsidR="0062135B" w:rsidRPr="00003F98" w:rsidRDefault="0062135B" w:rsidP="0062135B">
      <w:pPr>
        <w:ind w:right="-2"/>
        <w:rPr>
          <w:noProof/>
          <w:sz w:val="22"/>
          <w:szCs w:val="22"/>
        </w:rPr>
      </w:pPr>
    </w:p>
    <w:p w14:paraId="613C44E0" w14:textId="77777777" w:rsidR="0062135B" w:rsidRPr="00003F98" w:rsidRDefault="0062135B" w:rsidP="0062135B">
      <w:pPr>
        <w:ind w:right="-2"/>
        <w:rPr>
          <w:noProof/>
          <w:sz w:val="22"/>
          <w:szCs w:val="22"/>
        </w:rPr>
      </w:pPr>
    </w:p>
    <w:p w14:paraId="602B335E" w14:textId="77777777" w:rsidR="0062135B" w:rsidRPr="00003F98" w:rsidRDefault="0062135B" w:rsidP="0062135B">
      <w:pPr>
        <w:ind w:left="567" w:right="-2" w:hanging="567"/>
        <w:rPr>
          <w:noProof/>
          <w:sz w:val="22"/>
          <w:szCs w:val="22"/>
        </w:rPr>
      </w:pPr>
      <w:r w:rsidRPr="00003F98">
        <w:rPr>
          <w:b/>
          <w:noProof/>
          <w:sz w:val="22"/>
          <w:szCs w:val="22"/>
        </w:rPr>
        <w:t>4.</w:t>
      </w:r>
      <w:r w:rsidRPr="00003F98">
        <w:rPr>
          <w:b/>
          <w:noProof/>
          <w:sz w:val="22"/>
          <w:szCs w:val="22"/>
        </w:rPr>
        <w:tab/>
        <w:t>Possibili effetti indesiderati</w:t>
      </w:r>
    </w:p>
    <w:p w14:paraId="745E8FDC" w14:textId="77777777" w:rsidR="0062135B" w:rsidRDefault="0062135B" w:rsidP="0062135B">
      <w:pPr>
        <w:jc w:val="both"/>
        <w:rPr>
          <w:sz w:val="22"/>
          <w:szCs w:val="22"/>
        </w:rPr>
      </w:pPr>
      <w:r w:rsidRPr="00003F98">
        <w:rPr>
          <w:sz w:val="22"/>
          <w:szCs w:val="22"/>
        </w:rPr>
        <w:t xml:space="preserve">Come tutti i medicinali, </w:t>
      </w:r>
      <w:r w:rsidRPr="00003F98">
        <w:rPr>
          <w:noProof/>
          <w:sz w:val="22"/>
          <w:szCs w:val="22"/>
        </w:rPr>
        <w:t>questo medicinale</w:t>
      </w:r>
      <w:r w:rsidRPr="00003F98">
        <w:rPr>
          <w:sz w:val="22"/>
          <w:szCs w:val="22"/>
        </w:rPr>
        <w:t xml:space="preserve"> può causare effetti indesiderati sebbene non tutte le persone li manifestino.</w:t>
      </w:r>
      <w:r w:rsidRPr="007813F9">
        <w:rPr>
          <w:sz w:val="22"/>
          <w:szCs w:val="22"/>
        </w:rPr>
        <w:t xml:space="preserve"> </w:t>
      </w:r>
      <w:r w:rsidRPr="0070741C">
        <w:rPr>
          <w:sz w:val="22"/>
          <w:szCs w:val="22"/>
        </w:rPr>
        <w:t>In particolare, alcuni effetti indesiderati che si verificano con altri farmaci contenenti</w:t>
      </w:r>
      <w:r>
        <w:rPr>
          <w:sz w:val="22"/>
          <w:szCs w:val="22"/>
        </w:rPr>
        <w:t xml:space="preserve"> </w:t>
      </w:r>
      <w:proofErr w:type="spellStart"/>
      <w:r w:rsidRPr="0070741C">
        <w:rPr>
          <w:sz w:val="22"/>
          <w:szCs w:val="22"/>
        </w:rPr>
        <w:t>flurbiprofene</w:t>
      </w:r>
      <w:proofErr w:type="spellEnd"/>
      <w:r w:rsidRPr="0070741C">
        <w:rPr>
          <w:sz w:val="22"/>
          <w:szCs w:val="22"/>
        </w:rPr>
        <w:t>, assunti per via orale o topica (per esempio compresse o cerotti), o con altri farmaci contro</w:t>
      </w:r>
      <w:r>
        <w:rPr>
          <w:sz w:val="22"/>
          <w:szCs w:val="22"/>
        </w:rPr>
        <w:t xml:space="preserve"> </w:t>
      </w:r>
      <w:r w:rsidRPr="0070741C">
        <w:rPr>
          <w:sz w:val="22"/>
          <w:szCs w:val="22"/>
        </w:rPr>
        <w:t xml:space="preserve">l’infiammazione (FANS), possono presentarsi anche durante il trattamento con </w:t>
      </w:r>
      <w:r>
        <w:rPr>
          <w:sz w:val="22"/>
          <w:szCs w:val="22"/>
        </w:rPr>
        <w:t>Tantum Verde Gola.</w:t>
      </w:r>
    </w:p>
    <w:p w14:paraId="6AC1EEA5" w14:textId="77777777" w:rsidR="0062135B" w:rsidRPr="00003F98" w:rsidRDefault="0062135B" w:rsidP="0062135B">
      <w:pPr>
        <w:jc w:val="both"/>
        <w:rPr>
          <w:sz w:val="22"/>
          <w:szCs w:val="22"/>
        </w:rPr>
      </w:pPr>
    </w:p>
    <w:p w14:paraId="2CED165F" w14:textId="77777777" w:rsidR="0062135B" w:rsidRDefault="0062135B" w:rsidP="0062135B">
      <w:pPr>
        <w:jc w:val="both"/>
        <w:rPr>
          <w:sz w:val="22"/>
          <w:szCs w:val="22"/>
        </w:rPr>
      </w:pPr>
      <w:r w:rsidRPr="00003F98">
        <w:rPr>
          <w:noProof/>
          <w:sz w:val="22"/>
          <w:szCs w:val="22"/>
        </w:rPr>
        <w:t>Interrompa</w:t>
      </w:r>
      <w:r>
        <w:rPr>
          <w:noProof/>
          <w:sz w:val="22"/>
          <w:szCs w:val="22"/>
        </w:rPr>
        <w:t xml:space="preserve"> </w:t>
      </w:r>
      <w:r w:rsidRPr="00D87FDC">
        <w:rPr>
          <w:b/>
          <w:bCs/>
          <w:noProof/>
          <w:sz w:val="22"/>
          <w:szCs w:val="22"/>
        </w:rPr>
        <w:t>immediatamente</w:t>
      </w:r>
      <w:r>
        <w:rPr>
          <w:noProof/>
          <w:sz w:val="22"/>
          <w:szCs w:val="22"/>
        </w:rPr>
        <w:t xml:space="preserve"> </w:t>
      </w:r>
      <w:r w:rsidRPr="00D87FDC">
        <w:rPr>
          <w:b/>
          <w:bCs/>
          <w:noProof/>
          <w:sz w:val="22"/>
          <w:szCs w:val="22"/>
        </w:rPr>
        <w:t>l’assunzione di Tantum Verde Gola  e si rivolga al medico, se si verifica una delle seguenti condizioni</w:t>
      </w:r>
      <w:r w:rsidRPr="00003F98">
        <w:rPr>
          <w:sz w:val="22"/>
          <w:szCs w:val="22"/>
        </w:rPr>
        <w:t>:</w:t>
      </w:r>
    </w:p>
    <w:p w14:paraId="1E7FF99B" w14:textId="77777777" w:rsidR="0062135B" w:rsidRPr="0062057E"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forte bruciore o dolore addominale, dovuti ad ulcera dello stomaco o del duodeno (peptica). Tali effetti</w:t>
      </w:r>
      <w:r>
        <w:rPr>
          <w:rFonts w:ascii="Times New Roman" w:hAnsi="Times New Roman"/>
          <w:bCs/>
          <w:sz w:val="22"/>
          <w:szCs w:val="22"/>
        </w:rPr>
        <w:t xml:space="preserve"> </w:t>
      </w:r>
      <w:r w:rsidRPr="00647163">
        <w:rPr>
          <w:rFonts w:ascii="Times New Roman" w:hAnsi="Times New Roman"/>
          <w:bCs/>
          <w:sz w:val="22"/>
          <w:szCs w:val="22"/>
        </w:rPr>
        <w:t>indesiderati sono non comuni;</w:t>
      </w:r>
    </w:p>
    <w:p w14:paraId="2E97608A" w14:textId="77777777" w:rsidR="0062135B" w:rsidRPr="0062057E"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dolore violento ed improvviso alla bocca dello stomaco (perforazione dell’ulcera). Tale effetto</w:t>
      </w:r>
      <w:r>
        <w:rPr>
          <w:rFonts w:ascii="Times New Roman" w:hAnsi="Times New Roman"/>
          <w:bCs/>
          <w:sz w:val="22"/>
          <w:szCs w:val="22"/>
        </w:rPr>
        <w:t xml:space="preserve"> </w:t>
      </w:r>
      <w:r w:rsidRPr="00647163">
        <w:rPr>
          <w:rFonts w:ascii="Times New Roman" w:hAnsi="Times New Roman"/>
          <w:bCs/>
          <w:sz w:val="22"/>
          <w:szCs w:val="22"/>
        </w:rPr>
        <w:t>indesiderato è non comune;</w:t>
      </w:r>
    </w:p>
    <w:p w14:paraId="005F4E93" w14:textId="77777777" w:rsidR="0062135B" w:rsidRPr="0062057E"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vomito contenente sangue (ematemesi) o feci nere (melena), associati a sanguinamenti dello stomaco o</w:t>
      </w:r>
      <w:r w:rsidRPr="0070741C">
        <w:rPr>
          <w:rFonts w:ascii="Times New Roman" w:hAnsi="Times New Roman"/>
          <w:bCs/>
          <w:sz w:val="22"/>
          <w:szCs w:val="22"/>
        </w:rPr>
        <w:t xml:space="preserve"> </w:t>
      </w:r>
      <w:r w:rsidRPr="00647163">
        <w:rPr>
          <w:rFonts w:ascii="Times New Roman" w:hAnsi="Times New Roman"/>
          <w:bCs/>
          <w:sz w:val="22"/>
          <w:szCs w:val="22"/>
        </w:rPr>
        <w:t>dell’intestino, affaticamento anomalo con ridotta eliminazione delle urine (dovuto a sanguinamenti non</w:t>
      </w:r>
      <w:r>
        <w:rPr>
          <w:rFonts w:ascii="Times New Roman" w:hAnsi="Times New Roman"/>
          <w:bCs/>
          <w:sz w:val="22"/>
          <w:szCs w:val="22"/>
        </w:rPr>
        <w:t xml:space="preserve"> </w:t>
      </w:r>
      <w:r w:rsidRPr="00647163">
        <w:rPr>
          <w:rFonts w:ascii="Times New Roman" w:hAnsi="Times New Roman"/>
          <w:bCs/>
          <w:sz w:val="22"/>
          <w:szCs w:val="22"/>
        </w:rPr>
        <w:t>visibili). Tali effetti indesiderati sono comuni;</w:t>
      </w:r>
    </w:p>
    <w:p w14:paraId="635618F8" w14:textId="77777777" w:rsidR="0062135B" w:rsidRDefault="0062135B" w:rsidP="0062135B">
      <w:pPr>
        <w:pStyle w:val="Corpodeltesto2"/>
        <w:widowControl/>
        <w:numPr>
          <w:ilvl w:val="0"/>
          <w:numId w:val="3"/>
        </w:numPr>
        <w:spacing w:before="0"/>
        <w:rPr>
          <w:rFonts w:ascii="Times New Roman" w:hAnsi="Times New Roman"/>
          <w:bCs/>
          <w:sz w:val="22"/>
          <w:szCs w:val="22"/>
        </w:rPr>
      </w:pPr>
      <w:r w:rsidRPr="00647163">
        <w:rPr>
          <w:rFonts w:ascii="Times New Roman" w:hAnsi="Times New Roman"/>
          <w:bCs/>
          <w:sz w:val="22"/>
          <w:szCs w:val="22"/>
        </w:rPr>
        <w:t>reazioni allergiche anche gravi come, ad esempio</w:t>
      </w:r>
      <w:r w:rsidRPr="0070741C">
        <w:rPr>
          <w:rFonts w:ascii="Times New Roman" w:hAnsi="Times New Roman"/>
          <w:bCs/>
          <w:sz w:val="22"/>
          <w:szCs w:val="22"/>
        </w:rPr>
        <w:t>, gonfiore (angioedema) del viso, degli occhi, delle labbra, della gola con problemi respiratori (tali effetti indesiderati sono non comuni), con brusco abbassamento della pressione del sangue (reazione anafilattica) (tali effetti indesiderati sono rari);</w:t>
      </w:r>
    </w:p>
    <w:p w14:paraId="7908CB71" w14:textId="77777777" w:rsidR="0062135B" w:rsidRDefault="0062135B" w:rsidP="0062135B">
      <w:pPr>
        <w:pStyle w:val="Corpodeltesto2"/>
        <w:widowControl/>
        <w:numPr>
          <w:ilvl w:val="0"/>
          <w:numId w:val="3"/>
        </w:numPr>
        <w:spacing w:before="0"/>
        <w:rPr>
          <w:rFonts w:ascii="Times New Roman" w:hAnsi="Times New Roman"/>
          <w:bCs/>
          <w:sz w:val="22"/>
          <w:szCs w:val="22"/>
        </w:rPr>
      </w:pPr>
      <w:r w:rsidRPr="0070741C">
        <w:rPr>
          <w:rFonts w:ascii="Times New Roman" w:hAnsi="Times New Roman"/>
          <w:bCs/>
          <w:sz w:val="22"/>
          <w:szCs w:val="22"/>
        </w:rPr>
        <w:t xml:space="preserve">gravi eruzioni cutanee con arrossamento, esfoliazione e/o formazione di vesciche (es. eritema multiforme, Sindrome di Steven-Johnson, </w:t>
      </w:r>
      <w:proofErr w:type="spellStart"/>
      <w:r w:rsidRPr="0070741C">
        <w:rPr>
          <w:rFonts w:ascii="Times New Roman" w:hAnsi="Times New Roman"/>
          <w:bCs/>
          <w:sz w:val="22"/>
          <w:szCs w:val="22"/>
        </w:rPr>
        <w:t>necrolisi</w:t>
      </w:r>
      <w:proofErr w:type="spellEnd"/>
      <w:r w:rsidRPr="0070741C">
        <w:rPr>
          <w:rFonts w:ascii="Times New Roman" w:hAnsi="Times New Roman"/>
          <w:bCs/>
          <w:sz w:val="22"/>
          <w:szCs w:val="22"/>
        </w:rPr>
        <w:t xml:space="preserve"> epidermica</w:t>
      </w:r>
      <w:r>
        <w:rPr>
          <w:rFonts w:ascii="Times New Roman" w:hAnsi="Times New Roman"/>
          <w:bCs/>
          <w:sz w:val="22"/>
          <w:szCs w:val="22"/>
        </w:rPr>
        <w:t xml:space="preserve"> </w:t>
      </w:r>
      <w:r w:rsidRPr="0070741C">
        <w:rPr>
          <w:rFonts w:ascii="Times New Roman" w:hAnsi="Times New Roman"/>
          <w:bCs/>
          <w:sz w:val="22"/>
          <w:szCs w:val="22"/>
        </w:rPr>
        <w:t>tossica). Tali effetti indesiderati sono</w:t>
      </w:r>
      <w:r>
        <w:rPr>
          <w:rFonts w:ascii="Times New Roman" w:hAnsi="Times New Roman"/>
          <w:bCs/>
          <w:sz w:val="22"/>
          <w:szCs w:val="22"/>
        </w:rPr>
        <w:t xml:space="preserve"> </w:t>
      </w:r>
      <w:r w:rsidRPr="0070741C">
        <w:rPr>
          <w:rFonts w:ascii="Times New Roman" w:hAnsi="Times New Roman"/>
          <w:bCs/>
          <w:sz w:val="22"/>
          <w:szCs w:val="22"/>
        </w:rPr>
        <w:t>molto rari;</w:t>
      </w:r>
    </w:p>
    <w:p w14:paraId="6171A51C" w14:textId="77777777" w:rsidR="0062135B" w:rsidRDefault="0062135B" w:rsidP="0062135B">
      <w:pPr>
        <w:pStyle w:val="Corpodeltesto2"/>
        <w:widowControl/>
        <w:numPr>
          <w:ilvl w:val="0"/>
          <w:numId w:val="3"/>
        </w:numPr>
        <w:spacing w:before="0"/>
        <w:rPr>
          <w:rFonts w:ascii="Times New Roman" w:hAnsi="Times New Roman"/>
          <w:bCs/>
          <w:sz w:val="22"/>
          <w:szCs w:val="22"/>
        </w:rPr>
      </w:pPr>
      <w:r w:rsidRPr="0070741C">
        <w:rPr>
          <w:rFonts w:ascii="Times New Roman" w:hAnsi="Times New Roman"/>
          <w:bCs/>
          <w:sz w:val="22"/>
          <w:szCs w:val="22"/>
        </w:rPr>
        <w:t>problemi respiratori, anche gravi come asma, e dispnea (tali effetti indesiderati sono non comuni) o broncospasmo (tale effetto indesiderato è non comune);</w:t>
      </w:r>
    </w:p>
    <w:p w14:paraId="5FD81523" w14:textId="77777777" w:rsidR="0062135B" w:rsidRDefault="0062135B" w:rsidP="0062135B">
      <w:pPr>
        <w:pStyle w:val="Corpodeltesto2"/>
        <w:widowControl/>
        <w:numPr>
          <w:ilvl w:val="0"/>
          <w:numId w:val="3"/>
        </w:numPr>
        <w:spacing w:before="0"/>
        <w:rPr>
          <w:rFonts w:ascii="Times New Roman" w:hAnsi="Times New Roman"/>
          <w:bCs/>
          <w:sz w:val="22"/>
          <w:szCs w:val="22"/>
        </w:rPr>
      </w:pPr>
      <w:r w:rsidRPr="0070741C">
        <w:rPr>
          <w:rFonts w:ascii="Times New Roman" w:hAnsi="Times New Roman"/>
          <w:bCs/>
          <w:sz w:val="22"/>
          <w:szCs w:val="22"/>
        </w:rPr>
        <w:t>infiammazione del pancreas (pancreatite). Tale effetto indesiderato è molto raro;</w:t>
      </w:r>
    </w:p>
    <w:p w14:paraId="7FAFC41D" w14:textId="77777777" w:rsidR="0062135B" w:rsidRDefault="0062135B" w:rsidP="0062135B">
      <w:pPr>
        <w:pStyle w:val="Corpodeltesto2"/>
        <w:widowControl/>
        <w:numPr>
          <w:ilvl w:val="0"/>
          <w:numId w:val="3"/>
        </w:numPr>
        <w:spacing w:before="0"/>
        <w:rPr>
          <w:rFonts w:ascii="Times New Roman" w:hAnsi="Times New Roman"/>
          <w:bCs/>
          <w:sz w:val="22"/>
          <w:szCs w:val="22"/>
        </w:rPr>
      </w:pPr>
      <w:r w:rsidRPr="0070741C">
        <w:rPr>
          <w:rFonts w:ascii="Times New Roman" w:hAnsi="Times New Roman"/>
          <w:bCs/>
          <w:sz w:val="22"/>
          <w:szCs w:val="22"/>
        </w:rPr>
        <w:t>gonfiore della faccia, delle mani, delle gambe (edemi), diminuzione nella quantità di urine o difficoltà ad urinare (ritenzione di fluidi). Tali effetti indesiderati sono comuni;</w:t>
      </w:r>
    </w:p>
    <w:p w14:paraId="15039C07" w14:textId="77777777" w:rsidR="0062135B" w:rsidRDefault="0062135B" w:rsidP="0062135B">
      <w:pPr>
        <w:pStyle w:val="Corpodeltesto2"/>
        <w:widowControl/>
        <w:numPr>
          <w:ilvl w:val="0"/>
          <w:numId w:val="3"/>
        </w:numPr>
        <w:spacing w:before="0"/>
        <w:rPr>
          <w:rFonts w:ascii="Times New Roman" w:hAnsi="Times New Roman"/>
          <w:bCs/>
          <w:sz w:val="22"/>
          <w:szCs w:val="22"/>
        </w:rPr>
      </w:pPr>
      <w:r w:rsidRPr="0070741C">
        <w:rPr>
          <w:rFonts w:ascii="Times New Roman" w:hAnsi="Times New Roman"/>
          <w:bCs/>
          <w:sz w:val="22"/>
          <w:szCs w:val="22"/>
        </w:rPr>
        <w:t>stanchezza, mancanza di respiro e gonfiore delle gambe, sintomi di insufficienza del cuore; pressione</w:t>
      </w:r>
      <w:r>
        <w:rPr>
          <w:rFonts w:ascii="Times New Roman" w:hAnsi="Times New Roman"/>
          <w:bCs/>
          <w:sz w:val="22"/>
          <w:szCs w:val="22"/>
        </w:rPr>
        <w:t xml:space="preserve"> </w:t>
      </w:r>
      <w:r w:rsidRPr="0070741C">
        <w:rPr>
          <w:rFonts w:ascii="Times New Roman" w:hAnsi="Times New Roman"/>
          <w:bCs/>
          <w:sz w:val="22"/>
          <w:szCs w:val="22"/>
        </w:rPr>
        <w:t>alta. Tali effetti indesiderati sono non comuni;</w:t>
      </w:r>
    </w:p>
    <w:p w14:paraId="46856606" w14:textId="77777777" w:rsidR="0062135B" w:rsidRDefault="0062135B" w:rsidP="0062135B">
      <w:pPr>
        <w:pStyle w:val="Corpodeltesto2"/>
        <w:widowControl/>
        <w:numPr>
          <w:ilvl w:val="0"/>
          <w:numId w:val="3"/>
        </w:numPr>
        <w:spacing w:before="0"/>
        <w:rPr>
          <w:rFonts w:ascii="Times New Roman" w:hAnsi="Times New Roman"/>
          <w:bCs/>
          <w:sz w:val="22"/>
          <w:szCs w:val="22"/>
        </w:rPr>
      </w:pPr>
      <w:r w:rsidRPr="00F07240">
        <w:rPr>
          <w:rFonts w:ascii="Times New Roman" w:hAnsi="Times New Roman"/>
          <w:bCs/>
          <w:sz w:val="22"/>
          <w:szCs w:val="22"/>
        </w:rPr>
        <w:t>trombi nelle arterie (che causano ad es. infarto del cuore o ictus), malattie dei vasi del cervello (</w:t>
      </w:r>
      <w:r>
        <w:rPr>
          <w:rFonts w:ascii="Times New Roman" w:hAnsi="Times New Roman"/>
          <w:bCs/>
          <w:sz w:val="22"/>
          <w:szCs w:val="22"/>
        </w:rPr>
        <w:t xml:space="preserve">emorragia e </w:t>
      </w:r>
      <w:r w:rsidRPr="00F07240">
        <w:rPr>
          <w:rFonts w:ascii="Times New Roman" w:hAnsi="Times New Roman"/>
          <w:bCs/>
          <w:sz w:val="22"/>
          <w:szCs w:val="22"/>
        </w:rPr>
        <w:t>accident</w:t>
      </w:r>
      <w:r>
        <w:rPr>
          <w:rFonts w:ascii="Times New Roman" w:hAnsi="Times New Roman"/>
          <w:bCs/>
          <w:sz w:val="22"/>
          <w:szCs w:val="22"/>
        </w:rPr>
        <w:t xml:space="preserve">e </w:t>
      </w:r>
      <w:r w:rsidRPr="00F07240">
        <w:rPr>
          <w:rFonts w:ascii="Times New Roman" w:hAnsi="Times New Roman"/>
          <w:bCs/>
          <w:sz w:val="22"/>
          <w:szCs w:val="22"/>
        </w:rPr>
        <w:t>cerebrovascolar</w:t>
      </w:r>
      <w:r>
        <w:rPr>
          <w:rFonts w:ascii="Times New Roman" w:hAnsi="Times New Roman"/>
          <w:bCs/>
          <w:sz w:val="22"/>
          <w:szCs w:val="22"/>
        </w:rPr>
        <w:t>e</w:t>
      </w:r>
      <w:r w:rsidRPr="00F07240">
        <w:rPr>
          <w:rFonts w:ascii="Times New Roman" w:hAnsi="Times New Roman"/>
          <w:bCs/>
          <w:sz w:val="22"/>
          <w:szCs w:val="22"/>
        </w:rPr>
        <w:t>). La frequenza di tali effetti indesiderati non è nota;</w:t>
      </w:r>
    </w:p>
    <w:p w14:paraId="06A7D7D7" w14:textId="77777777" w:rsidR="0062135B" w:rsidRPr="00F07240" w:rsidRDefault="0062135B" w:rsidP="0062135B">
      <w:pPr>
        <w:pStyle w:val="Corpodeltesto2"/>
        <w:widowControl/>
        <w:numPr>
          <w:ilvl w:val="0"/>
          <w:numId w:val="3"/>
        </w:numPr>
        <w:spacing w:before="0"/>
        <w:rPr>
          <w:rFonts w:ascii="Times New Roman" w:hAnsi="Times New Roman"/>
          <w:bCs/>
          <w:sz w:val="22"/>
          <w:szCs w:val="22"/>
        </w:rPr>
      </w:pPr>
      <w:r w:rsidRPr="00F07240">
        <w:rPr>
          <w:rFonts w:ascii="Times New Roman" w:hAnsi="Times New Roman"/>
          <w:bCs/>
          <w:sz w:val="22"/>
          <w:szCs w:val="22"/>
        </w:rPr>
        <w:t>infiammazione delle meningi (meningite asettica) che si manifesta con: febbre molto alta, mal di testa improvviso, incapacità a flettere il capo, nausea, vomito, confusione, sopore e fastidio alla luce. La</w:t>
      </w:r>
      <w:r>
        <w:rPr>
          <w:rFonts w:ascii="Times New Roman" w:hAnsi="Times New Roman"/>
          <w:bCs/>
          <w:sz w:val="22"/>
          <w:szCs w:val="22"/>
        </w:rPr>
        <w:t xml:space="preserve"> </w:t>
      </w:r>
      <w:r w:rsidRPr="00F07240">
        <w:rPr>
          <w:rFonts w:ascii="Times New Roman" w:hAnsi="Times New Roman"/>
          <w:bCs/>
          <w:sz w:val="22"/>
          <w:szCs w:val="22"/>
        </w:rPr>
        <w:t>frequenza di tali effetti indesiderati non è nota.</w:t>
      </w:r>
    </w:p>
    <w:p w14:paraId="700FF68B" w14:textId="77777777" w:rsidR="0062135B" w:rsidRDefault="0062135B" w:rsidP="0062135B">
      <w:pPr>
        <w:pStyle w:val="testonotadichiusura"/>
        <w:tabs>
          <w:tab w:val="clear" w:pos="567"/>
          <w:tab w:val="num" w:pos="540"/>
        </w:tabs>
        <w:jc w:val="both"/>
        <w:rPr>
          <w:szCs w:val="22"/>
          <w:lang w:val="it-IT"/>
        </w:rPr>
      </w:pPr>
    </w:p>
    <w:p w14:paraId="2F722F7A" w14:textId="77777777" w:rsidR="0062135B" w:rsidRPr="00647163" w:rsidRDefault="0062135B" w:rsidP="0062135B">
      <w:pPr>
        <w:pStyle w:val="testonotadichiusura"/>
        <w:tabs>
          <w:tab w:val="num" w:pos="540"/>
        </w:tabs>
        <w:jc w:val="both"/>
        <w:rPr>
          <w:szCs w:val="22"/>
          <w:lang w:val="it-IT"/>
        </w:rPr>
      </w:pPr>
      <w:r w:rsidRPr="00647163">
        <w:rPr>
          <w:b/>
          <w:bCs/>
          <w:szCs w:val="22"/>
          <w:lang w:val="it-IT"/>
        </w:rPr>
        <w:t xml:space="preserve">Effetti indesiderati comuni </w:t>
      </w:r>
      <w:r w:rsidRPr="00647163">
        <w:rPr>
          <w:szCs w:val="22"/>
          <w:lang w:val="it-IT"/>
        </w:rPr>
        <w:t>(possono interessare fino a 1 persona su 10)</w:t>
      </w:r>
    </w:p>
    <w:p w14:paraId="4A943443" w14:textId="77777777" w:rsidR="0062135B" w:rsidRPr="0062057E" w:rsidRDefault="0062135B" w:rsidP="0062135B">
      <w:pPr>
        <w:pStyle w:val="Corpodeltesto2"/>
        <w:widowControl/>
        <w:numPr>
          <w:ilvl w:val="0"/>
          <w:numId w:val="3"/>
        </w:numPr>
        <w:spacing w:before="0"/>
        <w:rPr>
          <w:bCs/>
          <w:szCs w:val="22"/>
        </w:rPr>
      </w:pPr>
      <w:r w:rsidRPr="00647163">
        <w:rPr>
          <w:rFonts w:ascii="Times New Roman" w:hAnsi="Times New Roman"/>
          <w:bCs/>
          <w:sz w:val="22"/>
          <w:szCs w:val="22"/>
        </w:rPr>
        <w:t>nausea, vomito, diarrea, gas intestinali, difficoltà di evacuazione (costipazione), cattiva digestione,</w:t>
      </w:r>
      <w:r>
        <w:rPr>
          <w:rFonts w:ascii="Times New Roman" w:hAnsi="Times New Roman"/>
          <w:bCs/>
          <w:sz w:val="22"/>
          <w:szCs w:val="22"/>
        </w:rPr>
        <w:t xml:space="preserve"> </w:t>
      </w:r>
      <w:r w:rsidRPr="00647163">
        <w:rPr>
          <w:rFonts w:ascii="Times New Roman" w:hAnsi="Times New Roman"/>
          <w:bCs/>
          <w:sz w:val="22"/>
          <w:szCs w:val="22"/>
        </w:rPr>
        <w:t>dolore all’addome;</w:t>
      </w:r>
    </w:p>
    <w:p w14:paraId="32A5B91F" w14:textId="77777777" w:rsidR="0062135B" w:rsidRPr="0062057E" w:rsidRDefault="0062135B" w:rsidP="0062135B">
      <w:pPr>
        <w:pStyle w:val="Corpodeltesto2"/>
        <w:widowControl/>
        <w:numPr>
          <w:ilvl w:val="0"/>
          <w:numId w:val="3"/>
        </w:numPr>
        <w:spacing w:before="0"/>
        <w:rPr>
          <w:bCs/>
          <w:szCs w:val="22"/>
        </w:rPr>
      </w:pPr>
      <w:r w:rsidRPr="00647163">
        <w:rPr>
          <w:rFonts w:ascii="Times New Roman" w:hAnsi="Times New Roman"/>
          <w:bCs/>
          <w:sz w:val="22"/>
          <w:szCs w:val="22"/>
        </w:rPr>
        <w:t>alterazioni dei test che valutano la funzionalità del fegato, aumento del tempo di sanguinamento;</w:t>
      </w:r>
    </w:p>
    <w:p w14:paraId="1ABB9861" w14:textId="77777777" w:rsidR="0062135B" w:rsidRPr="0062057E" w:rsidRDefault="0062135B" w:rsidP="0062135B">
      <w:pPr>
        <w:pStyle w:val="Corpodeltesto2"/>
        <w:widowControl/>
        <w:numPr>
          <w:ilvl w:val="0"/>
          <w:numId w:val="3"/>
        </w:numPr>
        <w:spacing w:before="0"/>
        <w:rPr>
          <w:bCs/>
          <w:szCs w:val="22"/>
        </w:rPr>
      </w:pPr>
      <w:r w:rsidRPr="00647163">
        <w:rPr>
          <w:rFonts w:ascii="Times New Roman" w:hAnsi="Times New Roman"/>
          <w:bCs/>
          <w:sz w:val="22"/>
          <w:szCs w:val="22"/>
        </w:rPr>
        <w:t>capogiri, emicrania, affaticamento, malessere.</w:t>
      </w:r>
    </w:p>
    <w:p w14:paraId="29D18AF8" w14:textId="77777777" w:rsidR="0062135B" w:rsidRPr="00647163" w:rsidRDefault="0062135B" w:rsidP="0062135B">
      <w:pPr>
        <w:autoSpaceDE w:val="0"/>
        <w:autoSpaceDN w:val="0"/>
        <w:adjustRightInd w:val="0"/>
        <w:jc w:val="both"/>
        <w:rPr>
          <w:iCs/>
          <w:sz w:val="22"/>
          <w:szCs w:val="22"/>
        </w:rPr>
      </w:pPr>
    </w:p>
    <w:p w14:paraId="66CD1BBE" w14:textId="77777777" w:rsidR="0062135B" w:rsidRPr="00647163" w:rsidRDefault="0062135B" w:rsidP="0062135B">
      <w:pPr>
        <w:autoSpaceDE w:val="0"/>
        <w:autoSpaceDN w:val="0"/>
        <w:adjustRightInd w:val="0"/>
        <w:jc w:val="both"/>
        <w:rPr>
          <w:iCs/>
          <w:sz w:val="22"/>
          <w:szCs w:val="22"/>
        </w:rPr>
      </w:pPr>
      <w:r w:rsidRPr="00647163">
        <w:rPr>
          <w:b/>
          <w:bCs/>
          <w:iCs/>
          <w:sz w:val="22"/>
          <w:szCs w:val="22"/>
        </w:rPr>
        <w:t>Effetti indesiderati non comuni</w:t>
      </w:r>
      <w:r w:rsidRPr="00647163">
        <w:rPr>
          <w:iCs/>
          <w:sz w:val="22"/>
          <w:szCs w:val="22"/>
        </w:rPr>
        <w:t xml:space="preserve"> (possono interessare fino a 1 persona su 100)</w:t>
      </w:r>
    </w:p>
    <w:p w14:paraId="65AE2515" w14:textId="77777777" w:rsidR="0062135B" w:rsidRPr="00647163"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diminuzione dei globuli rossi (anemia);</w:t>
      </w:r>
    </w:p>
    <w:p w14:paraId="64D18765" w14:textId="77777777" w:rsidR="0062135B" w:rsidRPr="00647163"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gastriti, ulcere della bocca;</w:t>
      </w:r>
    </w:p>
    <w:p w14:paraId="554415B1" w14:textId="77777777" w:rsidR="0062135B" w:rsidRPr="00647163"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comparsa più o meno improvvisa di lesioni della pelle, ad esempio cambiamenti di colore a macchie o</w:t>
      </w:r>
      <w:r>
        <w:rPr>
          <w:rFonts w:ascii="Times New Roman" w:hAnsi="Times New Roman"/>
          <w:bCs/>
          <w:sz w:val="22"/>
          <w:szCs w:val="22"/>
        </w:rPr>
        <w:t xml:space="preserve"> </w:t>
      </w:r>
      <w:r w:rsidRPr="00647163">
        <w:rPr>
          <w:rFonts w:ascii="Times New Roman" w:hAnsi="Times New Roman"/>
          <w:bCs/>
          <w:sz w:val="22"/>
          <w:szCs w:val="22"/>
        </w:rPr>
        <w:t>diffusi (eruzione cutanea, porpora) anche in seguito ad esposizione al sole (reazioni di fotosensibilità),</w:t>
      </w:r>
      <w:r>
        <w:rPr>
          <w:rFonts w:ascii="Times New Roman" w:hAnsi="Times New Roman"/>
          <w:bCs/>
          <w:sz w:val="22"/>
          <w:szCs w:val="22"/>
        </w:rPr>
        <w:t xml:space="preserve"> </w:t>
      </w:r>
      <w:r w:rsidRPr="00647163">
        <w:rPr>
          <w:rFonts w:ascii="Times New Roman" w:hAnsi="Times New Roman"/>
          <w:bCs/>
          <w:sz w:val="22"/>
          <w:szCs w:val="22"/>
        </w:rPr>
        <w:t>orticaria, prurito;</w:t>
      </w:r>
    </w:p>
    <w:p w14:paraId="300105A3" w14:textId="77777777" w:rsidR="0062135B" w:rsidRPr="00647163"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ronzii, sibili, squilli, fischi o altri suoni persistenti nelle orecchie;</w:t>
      </w:r>
    </w:p>
    <w:p w14:paraId="32420BFE" w14:textId="77777777" w:rsidR="0062135B" w:rsidRDefault="0062135B" w:rsidP="0062135B">
      <w:pPr>
        <w:pStyle w:val="Corpodeltesto2"/>
        <w:widowControl/>
        <w:numPr>
          <w:ilvl w:val="0"/>
          <w:numId w:val="3"/>
        </w:numPr>
        <w:spacing w:before="0"/>
        <w:rPr>
          <w:rFonts w:ascii="Times New Roman" w:hAnsi="Times New Roman"/>
          <w:bCs/>
          <w:sz w:val="22"/>
          <w:szCs w:val="22"/>
        </w:rPr>
      </w:pPr>
      <w:r w:rsidRPr="00647163">
        <w:rPr>
          <w:rFonts w:ascii="Times New Roman" w:hAnsi="Times New Roman"/>
          <w:bCs/>
          <w:sz w:val="22"/>
          <w:szCs w:val="22"/>
        </w:rPr>
        <w:t>disturbi alla vista, alterazione della sensibilità, vertigine.</w:t>
      </w:r>
    </w:p>
    <w:p w14:paraId="2AD2D795" w14:textId="77777777" w:rsidR="0062135B" w:rsidRDefault="0062135B" w:rsidP="0062135B">
      <w:pPr>
        <w:pStyle w:val="Corpodeltesto2"/>
        <w:widowControl/>
        <w:spacing w:before="0"/>
        <w:rPr>
          <w:rFonts w:ascii="Times New Roman" w:hAnsi="Times New Roman"/>
          <w:bCs/>
          <w:sz w:val="22"/>
          <w:szCs w:val="22"/>
        </w:rPr>
      </w:pPr>
    </w:p>
    <w:p w14:paraId="75A52D77" w14:textId="77777777" w:rsidR="0062135B" w:rsidRPr="0062057E" w:rsidRDefault="0062135B" w:rsidP="0062135B">
      <w:pPr>
        <w:pStyle w:val="Corpodeltesto2"/>
        <w:rPr>
          <w:rFonts w:ascii="Times New Roman" w:hAnsi="Times New Roman"/>
          <w:bCs/>
          <w:sz w:val="22"/>
          <w:szCs w:val="22"/>
        </w:rPr>
      </w:pPr>
      <w:r w:rsidRPr="00647163">
        <w:rPr>
          <w:rFonts w:ascii="Times New Roman" w:hAnsi="Times New Roman"/>
          <w:b/>
          <w:sz w:val="22"/>
          <w:szCs w:val="22"/>
        </w:rPr>
        <w:lastRenderedPageBreak/>
        <w:t>Effetti indesiderati rari</w:t>
      </w:r>
      <w:r w:rsidRPr="0062057E">
        <w:rPr>
          <w:rFonts w:ascii="Times New Roman" w:hAnsi="Times New Roman"/>
          <w:bCs/>
          <w:sz w:val="22"/>
          <w:szCs w:val="22"/>
        </w:rPr>
        <w:t xml:space="preserve"> (possono interessare fino a 1 persona su 1.000)</w:t>
      </w:r>
    </w:p>
    <w:p w14:paraId="5CCE333A" w14:textId="77777777" w:rsidR="0062135B" w:rsidRPr="0062057E" w:rsidRDefault="0062135B" w:rsidP="0062135B">
      <w:pPr>
        <w:pStyle w:val="Corpodeltesto2"/>
        <w:widowControl/>
        <w:numPr>
          <w:ilvl w:val="0"/>
          <w:numId w:val="3"/>
        </w:numPr>
        <w:spacing w:before="0"/>
        <w:rPr>
          <w:rFonts w:ascii="Times New Roman" w:hAnsi="Times New Roman"/>
          <w:bCs/>
          <w:sz w:val="22"/>
          <w:szCs w:val="22"/>
        </w:rPr>
      </w:pPr>
      <w:r w:rsidRPr="0062057E">
        <w:rPr>
          <w:rFonts w:ascii="Times New Roman" w:hAnsi="Times New Roman"/>
          <w:bCs/>
          <w:sz w:val="22"/>
          <w:szCs w:val="22"/>
        </w:rPr>
        <w:t>depressione, confusione, sonnolenza, difficoltà ad addormentarsi (insonnia);</w:t>
      </w:r>
    </w:p>
    <w:p w14:paraId="6D9021CB" w14:textId="77777777" w:rsidR="0062135B" w:rsidRPr="0062057E" w:rsidRDefault="0062135B" w:rsidP="0062135B">
      <w:pPr>
        <w:pStyle w:val="Corpodeltesto2"/>
        <w:widowControl/>
        <w:numPr>
          <w:ilvl w:val="0"/>
          <w:numId w:val="3"/>
        </w:numPr>
        <w:spacing w:before="0"/>
        <w:rPr>
          <w:rFonts w:ascii="Times New Roman" w:hAnsi="Times New Roman"/>
          <w:bCs/>
          <w:sz w:val="22"/>
          <w:szCs w:val="22"/>
        </w:rPr>
      </w:pPr>
      <w:r w:rsidRPr="0062057E">
        <w:rPr>
          <w:rFonts w:ascii="Times New Roman" w:hAnsi="Times New Roman"/>
          <w:bCs/>
          <w:sz w:val="22"/>
          <w:szCs w:val="22"/>
        </w:rPr>
        <w:t>problemi al rene (nefrotossicità) come sindrome nefrotica, infiammazione del rene (nefrite tubulo interstiziale), alterazioni della funzionalità (insufficienza renale).</w:t>
      </w:r>
    </w:p>
    <w:p w14:paraId="4D6D4DE6" w14:textId="77777777" w:rsidR="0062135B" w:rsidRPr="00647163" w:rsidRDefault="0062135B" w:rsidP="0062135B">
      <w:pPr>
        <w:pStyle w:val="Corpodeltesto2"/>
        <w:widowControl/>
        <w:spacing w:before="0"/>
        <w:rPr>
          <w:bCs/>
          <w:sz w:val="22"/>
          <w:szCs w:val="22"/>
        </w:rPr>
      </w:pPr>
    </w:p>
    <w:p w14:paraId="755252C8" w14:textId="77777777" w:rsidR="0062135B" w:rsidRPr="00647163" w:rsidRDefault="0062135B" w:rsidP="0062135B">
      <w:pPr>
        <w:autoSpaceDE w:val="0"/>
        <w:autoSpaceDN w:val="0"/>
        <w:adjustRightInd w:val="0"/>
        <w:jc w:val="both"/>
        <w:rPr>
          <w:iCs/>
          <w:sz w:val="22"/>
          <w:szCs w:val="22"/>
        </w:rPr>
      </w:pPr>
      <w:r w:rsidRPr="00647163">
        <w:rPr>
          <w:b/>
          <w:bCs/>
          <w:iCs/>
          <w:sz w:val="22"/>
          <w:szCs w:val="22"/>
        </w:rPr>
        <w:t>Effetti indesiderati molto rari</w:t>
      </w:r>
      <w:r w:rsidRPr="00647163">
        <w:rPr>
          <w:iCs/>
          <w:sz w:val="22"/>
          <w:szCs w:val="22"/>
        </w:rPr>
        <w:t xml:space="preserve"> (possono interessare fino a 1 persona su 10.000)</w:t>
      </w:r>
    </w:p>
    <w:p w14:paraId="723EC7E0" w14:textId="77777777" w:rsidR="0062135B" w:rsidRPr="00647163"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alterazione dei parametri del sangue: diminuzione delle piastrine (trombocitopenia), riduzione dei</w:t>
      </w:r>
      <w:r w:rsidRPr="00714001">
        <w:rPr>
          <w:rFonts w:ascii="Times New Roman" w:hAnsi="Times New Roman"/>
          <w:bCs/>
          <w:sz w:val="22"/>
          <w:szCs w:val="22"/>
        </w:rPr>
        <w:t xml:space="preserve"> </w:t>
      </w:r>
      <w:r w:rsidRPr="00647163">
        <w:rPr>
          <w:rFonts w:ascii="Times New Roman" w:hAnsi="Times New Roman"/>
          <w:bCs/>
          <w:sz w:val="22"/>
          <w:szCs w:val="22"/>
        </w:rPr>
        <w:t>globuli bianchi (leucopenia) o dei neutrofili (neutropenia), grave riduzione dei granulociti</w:t>
      </w:r>
      <w:r w:rsidRPr="00714001">
        <w:rPr>
          <w:rFonts w:ascii="Times New Roman" w:hAnsi="Times New Roman"/>
          <w:bCs/>
          <w:sz w:val="22"/>
          <w:szCs w:val="22"/>
        </w:rPr>
        <w:t xml:space="preserve"> </w:t>
      </w:r>
      <w:r w:rsidRPr="00647163">
        <w:rPr>
          <w:rFonts w:ascii="Times New Roman" w:hAnsi="Times New Roman"/>
          <w:bCs/>
          <w:sz w:val="22"/>
          <w:szCs w:val="22"/>
        </w:rPr>
        <w:t>(agranulocitosi), diminuzione dei globuli rossi per problemi al midollo osseo (anemia aplastica),</w:t>
      </w:r>
      <w:r>
        <w:rPr>
          <w:rFonts w:ascii="Times New Roman" w:hAnsi="Times New Roman"/>
          <w:bCs/>
          <w:sz w:val="22"/>
          <w:szCs w:val="22"/>
        </w:rPr>
        <w:t xml:space="preserve"> </w:t>
      </w:r>
      <w:r w:rsidRPr="00647163">
        <w:rPr>
          <w:rFonts w:ascii="Times New Roman" w:hAnsi="Times New Roman"/>
          <w:bCs/>
          <w:sz w:val="22"/>
          <w:szCs w:val="22"/>
        </w:rPr>
        <w:t>distruzione dei globuli rossi con conseguente riduzione del loro numero (anemia emolitica);</w:t>
      </w:r>
    </w:p>
    <w:p w14:paraId="6D86DB14" w14:textId="77777777" w:rsidR="0062135B" w:rsidRPr="00647163"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colorazione giallastra degli occhi o della pelle (ittero, ittero colestatico), urine scure, feci pallide, prurito</w:t>
      </w:r>
      <w:r>
        <w:rPr>
          <w:rFonts w:ascii="Times New Roman" w:hAnsi="Times New Roman"/>
          <w:bCs/>
          <w:sz w:val="22"/>
          <w:szCs w:val="22"/>
        </w:rPr>
        <w:t xml:space="preserve"> </w:t>
      </w:r>
      <w:r w:rsidRPr="00647163">
        <w:rPr>
          <w:rFonts w:ascii="Times New Roman" w:hAnsi="Times New Roman"/>
          <w:bCs/>
          <w:sz w:val="22"/>
          <w:szCs w:val="22"/>
        </w:rPr>
        <w:t>o dolore all’addome, possibili segni di problemi al fegato;</w:t>
      </w:r>
    </w:p>
    <w:p w14:paraId="698F6E19" w14:textId="77777777" w:rsidR="0062135B" w:rsidRPr="00D756FB"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allucinazioni.</w:t>
      </w:r>
    </w:p>
    <w:p w14:paraId="3E7F9B36" w14:textId="77777777" w:rsidR="0062135B" w:rsidRDefault="0062135B" w:rsidP="0062135B">
      <w:pPr>
        <w:autoSpaceDE w:val="0"/>
        <w:autoSpaceDN w:val="0"/>
        <w:adjustRightInd w:val="0"/>
        <w:jc w:val="both"/>
        <w:rPr>
          <w:iCs/>
          <w:sz w:val="22"/>
          <w:szCs w:val="22"/>
        </w:rPr>
      </w:pPr>
    </w:p>
    <w:p w14:paraId="40723032" w14:textId="77777777" w:rsidR="0062135B" w:rsidRPr="00714001" w:rsidRDefault="0062135B" w:rsidP="0062135B">
      <w:pPr>
        <w:autoSpaceDE w:val="0"/>
        <w:autoSpaceDN w:val="0"/>
        <w:adjustRightInd w:val="0"/>
        <w:jc w:val="both"/>
        <w:rPr>
          <w:iCs/>
          <w:sz w:val="22"/>
          <w:szCs w:val="22"/>
        </w:rPr>
      </w:pPr>
      <w:r w:rsidRPr="00714001">
        <w:rPr>
          <w:b/>
          <w:bCs/>
          <w:iCs/>
          <w:sz w:val="22"/>
          <w:szCs w:val="22"/>
        </w:rPr>
        <w:t xml:space="preserve">Effetti indesiderati non noti </w:t>
      </w:r>
      <w:r w:rsidRPr="00714001">
        <w:rPr>
          <w:iCs/>
          <w:sz w:val="22"/>
          <w:szCs w:val="22"/>
        </w:rPr>
        <w:t>(la frequenza non può essere definita sulla base dei dati disponibili)</w:t>
      </w:r>
    </w:p>
    <w:p w14:paraId="77AFD63D" w14:textId="77777777" w:rsidR="0062135B" w:rsidRPr="00D756FB"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infiammazione al colon e morbo di Crohn;</w:t>
      </w:r>
    </w:p>
    <w:p w14:paraId="2FBAC777" w14:textId="77777777" w:rsidR="0062135B" w:rsidRPr="00D756FB"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problemi alla vista per infiammazione del nervo dell’occhio (neurite ottica), mal di testa (cefalea);</w:t>
      </w:r>
    </w:p>
    <w:p w14:paraId="2B82E9E3" w14:textId="77777777" w:rsidR="0062135B" w:rsidRPr="00D756FB" w:rsidRDefault="0062135B" w:rsidP="0062135B">
      <w:pPr>
        <w:pStyle w:val="Corpodeltesto2"/>
        <w:widowControl/>
        <w:numPr>
          <w:ilvl w:val="0"/>
          <w:numId w:val="3"/>
        </w:numPr>
        <w:spacing w:before="0"/>
        <w:rPr>
          <w:bCs/>
          <w:sz w:val="22"/>
          <w:szCs w:val="22"/>
        </w:rPr>
      </w:pPr>
      <w:r w:rsidRPr="00647163">
        <w:rPr>
          <w:rFonts w:ascii="Times New Roman" w:hAnsi="Times New Roman"/>
          <w:bCs/>
          <w:sz w:val="22"/>
          <w:szCs w:val="22"/>
        </w:rPr>
        <w:t>infiammazione dei reni (glomerulonefrite);</w:t>
      </w:r>
    </w:p>
    <w:p w14:paraId="58537225" w14:textId="77777777" w:rsidR="0062135B" w:rsidRPr="00647163" w:rsidRDefault="0062135B" w:rsidP="0062135B">
      <w:pPr>
        <w:pStyle w:val="Corpodeltesto2"/>
        <w:widowControl/>
        <w:numPr>
          <w:ilvl w:val="0"/>
          <w:numId w:val="3"/>
        </w:numPr>
        <w:spacing w:before="0"/>
        <w:rPr>
          <w:bCs/>
          <w:sz w:val="22"/>
          <w:szCs w:val="22"/>
        </w:rPr>
      </w:pPr>
      <w:r w:rsidRPr="000869A0">
        <w:rPr>
          <w:rFonts w:ascii="Times New Roman" w:hAnsi="Times New Roman"/>
          <w:bCs/>
          <w:sz w:val="22"/>
          <w:szCs w:val="22"/>
        </w:rPr>
        <w:t>infiammazione del fegato (epatite)</w:t>
      </w:r>
      <w:r>
        <w:rPr>
          <w:rFonts w:ascii="Times New Roman" w:hAnsi="Times New Roman"/>
          <w:bCs/>
          <w:sz w:val="22"/>
          <w:szCs w:val="22"/>
        </w:rPr>
        <w:t>;</w:t>
      </w:r>
    </w:p>
    <w:p w14:paraId="144ED6A0" w14:textId="77777777" w:rsidR="0062135B" w:rsidRPr="00647163" w:rsidRDefault="0062135B" w:rsidP="0062135B">
      <w:pPr>
        <w:pStyle w:val="Corpodeltesto2"/>
        <w:widowControl/>
        <w:numPr>
          <w:ilvl w:val="0"/>
          <w:numId w:val="3"/>
        </w:numPr>
        <w:spacing w:before="0"/>
        <w:rPr>
          <w:bCs/>
          <w:sz w:val="22"/>
          <w:szCs w:val="22"/>
        </w:rPr>
      </w:pPr>
      <w:r>
        <w:rPr>
          <w:rFonts w:ascii="Times New Roman" w:hAnsi="Times New Roman"/>
          <w:bCs/>
          <w:sz w:val="22"/>
          <w:szCs w:val="22"/>
        </w:rPr>
        <w:t>fastidio.</w:t>
      </w:r>
    </w:p>
    <w:p w14:paraId="2F8C8228" w14:textId="77777777" w:rsidR="0062135B" w:rsidRPr="00003F98" w:rsidRDefault="0062135B" w:rsidP="0062135B">
      <w:pPr>
        <w:pStyle w:val="testonotadichiusura"/>
        <w:tabs>
          <w:tab w:val="clear" w:pos="567"/>
        </w:tabs>
        <w:jc w:val="both"/>
        <w:rPr>
          <w:noProof/>
          <w:szCs w:val="22"/>
          <w:lang w:val="it-IT"/>
        </w:rPr>
      </w:pPr>
    </w:p>
    <w:p w14:paraId="3C69FDB1" w14:textId="77777777" w:rsidR="0062135B" w:rsidRPr="00003F98" w:rsidRDefault="0062135B" w:rsidP="0062135B">
      <w:pPr>
        <w:widowControl w:val="0"/>
        <w:jc w:val="both"/>
        <w:rPr>
          <w:sz w:val="22"/>
          <w:szCs w:val="22"/>
        </w:rPr>
      </w:pPr>
    </w:p>
    <w:p w14:paraId="49363BE1" w14:textId="77777777" w:rsidR="0062135B" w:rsidRPr="00003F98" w:rsidRDefault="0062135B" w:rsidP="0062135B">
      <w:pPr>
        <w:tabs>
          <w:tab w:val="left" w:pos="6300"/>
        </w:tabs>
        <w:ind w:right="-2"/>
        <w:jc w:val="both"/>
        <w:rPr>
          <w:b/>
          <w:noProof/>
          <w:sz w:val="22"/>
          <w:szCs w:val="22"/>
        </w:rPr>
      </w:pPr>
      <w:r w:rsidRPr="00003F98">
        <w:rPr>
          <w:b/>
          <w:noProof/>
          <w:sz w:val="22"/>
          <w:szCs w:val="22"/>
        </w:rPr>
        <w:t>Segnalazione degli effetti indesiderati</w:t>
      </w:r>
    </w:p>
    <w:p w14:paraId="40A3F2A4" w14:textId="77777777" w:rsidR="0062135B" w:rsidRPr="00003F98" w:rsidRDefault="0062135B" w:rsidP="0062135B">
      <w:pPr>
        <w:suppressAutoHyphens/>
        <w:jc w:val="both"/>
        <w:rPr>
          <w:sz w:val="22"/>
          <w:szCs w:val="22"/>
        </w:rPr>
      </w:pPr>
      <w:r w:rsidRPr="00003F98">
        <w:rPr>
          <w:noProof/>
          <w:sz w:val="22"/>
          <w:szCs w:val="22"/>
        </w:rPr>
        <w:t>Se manifesta</w:t>
      </w:r>
      <w:r w:rsidRPr="00003F98">
        <w:rPr>
          <w:sz w:val="22"/>
          <w:szCs w:val="22"/>
        </w:rPr>
        <w:t xml:space="preserve"> un qualsiasi effetto indesiderato</w:t>
      </w:r>
      <w:r w:rsidRPr="00003F98">
        <w:rPr>
          <w:noProof/>
          <w:sz w:val="22"/>
          <w:szCs w:val="22"/>
        </w:rPr>
        <w:t>, compresi quelli</w:t>
      </w:r>
      <w:r w:rsidRPr="00003F98">
        <w:rPr>
          <w:sz w:val="22"/>
          <w:szCs w:val="22"/>
        </w:rPr>
        <w:t xml:space="preserve"> non </w:t>
      </w:r>
      <w:r w:rsidRPr="00003F98">
        <w:rPr>
          <w:noProof/>
          <w:sz w:val="22"/>
          <w:szCs w:val="22"/>
        </w:rPr>
        <w:t>elencati</w:t>
      </w:r>
      <w:r w:rsidRPr="00003F98">
        <w:rPr>
          <w:sz w:val="22"/>
          <w:szCs w:val="22"/>
        </w:rPr>
        <w:t xml:space="preserve"> in questo foglio</w:t>
      </w:r>
      <w:r w:rsidRPr="00003F98">
        <w:rPr>
          <w:noProof/>
          <w:sz w:val="22"/>
          <w:szCs w:val="22"/>
        </w:rPr>
        <w:t xml:space="preserve">, si rivolga </w:t>
      </w:r>
      <w:r w:rsidRPr="00003F98">
        <w:rPr>
          <w:sz w:val="22"/>
          <w:szCs w:val="22"/>
        </w:rPr>
        <w:t xml:space="preserve">al medico o al farmacista. </w:t>
      </w:r>
      <w:r w:rsidRPr="00003F98">
        <w:rPr>
          <w:noProof/>
          <w:sz w:val="22"/>
          <w:szCs w:val="22"/>
        </w:rPr>
        <w:t xml:space="preserve">Lei può inoltre segnalare gli effetti indesiderati direttamente tramite il sistema nazionale di segnalazione all’indirizzo </w:t>
      </w:r>
      <w:r w:rsidRPr="00A30FD7">
        <w:t>https://www.aifa.gov.it/content/segnalazioni-reazioni-avverse.</w:t>
      </w:r>
    </w:p>
    <w:p w14:paraId="6CA0577D" w14:textId="77777777" w:rsidR="0062135B" w:rsidRPr="00003F98" w:rsidRDefault="0062135B" w:rsidP="0062135B">
      <w:pPr>
        <w:suppressAutoHyphens/>
        <w:jc w:val="both"/>
        <w:rPr>
          <w:noProof/>
          <w:sz w:val="22"/>
          <w:szCs w:val="22"/>
        </w:rPr>
      </w:pPr>
      <w:r w:rsidRPr="00003F98">
        <w:rPr>
          <w:noProof/>
          <w:sz w:val="22"/>
          <w:szCs w:val="22"/>
        </w:rPr>
        <w:t>Segnalando gli effetti indesiderati lei può contribuire a fornire maggiori informazioni sulla sicurezza di questo medicinale.</w:t>
      </w:r>
    </w:p>
    <w:p w14:paraId="5E495569" w14:textId="77777777" w:rsidR="0062135B" w:rsidRPr="00003F98" w:rsidRDefault="0062135B" w:rsidP="0062135B">
      <w:pPr>
        <w:suppressAutoHyphens/>
        <w:jc w:val="both"/>
        <w:rPr>
          <w:sz w:val="22"/>
          <w:szCs w:val="22"/>
        </w:rPr>
      </w:pPr>
    </w:p>
    <w:p w14:paraId="3E5E98DA" w14:textId="77777777" w:rsidR="0062135B" w:rsidRPr="00003F98" w:rsidRDefault="0062135B" w:rsidP="0062135B">
      <w:pPr>
        <w:ind w:left="567" w:right="-2" w:hanging="567"/>
        <w:jc w:val="both"/>
        <w:rPr>
          <w:b/>
          <w:noProof/>
          <w:sz w:val="22"/>
          <w:szCs w:val="22"/>
        </w:rPr>
      </w:pPr>
    </w:p>
    <w:p w14:paraId="4E1AB8C3" w14:textId="77777777" w:rsidR="0062135B" w:rsidRPr="00003F98" w:rsidRDefault="0062135B" w:rsidP="0062135B">
      <w:pPr>
        <w:tabs>
          <w:tab w:val="left" w:pos="426"/>
        </w:tabs>
        <w:ind w:left="425" w:hanging="425"/>
        <w:jc w:val="both"/>
        <w:rPr>
          <w:noProof/>
          <w:sz w:val="22"/>
          <w:szCs w:val="22"/>
        </w:rPr>
      </w:pPr>
      <w:r w:rsidRPr="00003F98">
        <w:rPr>
          <w:b/>
          <w:noProof/>
          <w:sz w:val="22"/>
          <w:szCs w:val="22"/>
        </w:rPr>
        <w:t>5.</w:t>
      </w:r>
      <w:r w:rsidRPr="00003F98">
        <w:rPr>
          <w:b/>
          <w:noProof/>
          <w:sz w:val="22"/>
          <w:szCs w:val="22"/>
        </w:rPr>
        <w:tab/>
        <w:t>Come conservare</w:t>
      </w:r>
      <w:r w:rsidRPr="00003F98">
        <w:rPr>
          <w:b/>
          <w:sz w:val="22"/>
          <w:szCs w:val="22"/>
        </w:rPr>
        <w:t xml:space="preserve"> </w:t>
      </w:r>
      <w:r w:rsidRPr="00003F98">
        <w:rPr>
          <w:b/>
          <w:noProof/>
          <w:sz w:val="22"/>
          <w:szCs w:val="22"/>
        </w:rPr>
        <w:t>Tantum Verde Gola</w:t>
      </w:r>
    </w:p>
    <w:p w14:paraId="722EFB4F" w14:textId="77777777" w:rsidR="0062135B" w:rsidRPr="00003F98" w:rsidRDefault="0062135B" w:rsidP="0062135B">
      <w:pPr>
        <w:tabs>
          <w:tab w:val="left" w:pos="284"/>
        </w:tabs>
        <w:jc w:val="both"/>
        <w:rPr>
          <w:sz w:val="22"/>
          <w:szCs w:val="22"/>
        </w:rPr>
      </w:pPr>
      <w:r>
        <w:rPr>
          <w:sz w:val="22"/>
          <w:szCs w:val="22"/>
        </w:rPr>
        <w:t>Conservi</w:t>
      </w:r>
      <w:r w:rsidRPr="00003F98">
        <w:rPr>
          <w:sz w:val="22"/>
          <w:szCs w:val="22"/>
        </w:rPr>
        <w:t xml:space="preserve"> questo medicinale fuori dalla vista e dalla portata dei bambini.</w:t>
      </w:r>
    </w:p>
    <w:p w14:paraId="0F6C0A2D" w14:textId="77777777" w:rsidR="0062135B" w:rsidRPr="00003F98" w:rsidRDefault="0062135B" w:rsidP="0062135B">
      <w:pPr>
        <w:suppressAutoHyphens/>
        <w:rPr>
          <w:noProof/>
          <w:sz w:val="22"/>
          <w:szCs w:val="22"/>
        </w:rPr>
      </w:pPr>
      <w:r w:rsidRPr="00003F98">
        <w:rPr>
          <w:noProof/>
          <w:sz w:val="22"/>
          <w:szCs w:val="22"/>
        </w:rPr>
        <w:t xml:space="preserve">Questo medicinale non richiede alcuna condizione particolare di conservazione. </w:t>
      </w:r>
    </w:p>
    <w:p w14:paraId="3ECF1938" w14:textId="77777777" w:rsidR="0062135B" w:rsidRPr="00003F98" w:rsidRDefault="0062135B" w:rsidP="0062135B">
      <w:pPr>
        <w:suppressAutoHyphens/>
        <w:jc w:val="both"/>
        <w:rPr>
          <w:noProof/>
          <w:sz w:val="22"/>
          <w:szCs w:val="22"/>
        </w:rPr>
      </w:pPr>
      <w:r w:rsidRPr="00003F98">
        <w:rPr>
          <w:noProof/>
          <w:sz w:val="22"/>
          <w:szCs w:val="22"/>
        </w:rPr>
        <w:t>Non usi questo medicinale dopo la data di scadenza che è riportata sulla scatola. La data di scadenza si riferisce all’ultimo giorno di quel mese.</w:t>
      </w:r>
    </w:p>
    <w:p w14:paraId="2A074E04" w14:textId="77777777" w:rsidR="0062135B" w:rsidRPr="00003F98" w:rsidRDefault="0062135B" w:rsidP="0062135B">
      <w:pPr>
        <w:tabs>
          <w:tab w:val="left" w:pos="284"/>
        </w:tabs>
        <w:jc w:val="both"/>
        <w:rPr>
          <w:sz w:val="22"/>
          <w:szCs w:val="22"/>
          <w:highlight w:val="green"/>
        </w:rPr>
      </w:pPr>
      <w:r w:rsidRPr="00003F98">
        <w:rPr>
          <w:noProof/>
          <w:sz w:val="22"/>
          <w:szCs w:val="22"/>
        </w:rPr>
        <w:t xml:space="preserve">Non getti alcun medicinale </w:t>
      </w:r>
      <w:r w:rsidRPr="00003F98">
        <w:rPr>
          <w:sz w:val="22"/>
          <w:szCs w:val="22"/>
        </w:rPr>
        <w:t>nell’acqua di scarico e nei rifiuti domestici. Chieda al farmacista come eliminare i medicinali che non utilizza più. Questo aiuterà a proteggere l’ambiente.</w:t>
      </w:r>
    </w:p>
    <w:p w14:paraId="7548ACAB" w14:textId="77777777" w:rsidR="0062135B" w:rsidRPr="00003F98" w:rsidRDefault="0062135B" w:rsidP="0062135B">
      <w:pPr>
        <w:widowControl w:val="0"/>
        <w:jc w:val="both"/>
        <w:rPr>
          <w:sz w:val="22"/>
          <w:szCs w:val="22"/>
        </w:rPr>
      </w:pPr>
    </w:p>
    <w:p w14:paraId="00150553" w14:textId="77777777" w:rsidR="0062135B" w:rsidRPr="00003F98" w:rsidRDefault="0062135B" w:rsidP="0062135B">
      <w:pPr>
        <w:widowControl w:val="0"/>
        <w:jc w:val="both"/>
        <w:rPr>
          <w:sz w:val="22"/>
          <w:szCs w:val="22"/>
        </w:rPr>
      </w:pPr>
    </w:p>
    <w:p w14:paraId="4179F587" w14:textId="77777777" w:rsidR="0062135B" w:rsidRPr="00003F98" w:rsidRDefault="0062135B" w:rsidP="0062135B">
      <w:pPr>
        <w:ind w:left="567" w:right="-2" w:hanging="567"/>
        <w:rPr>
          <w:noProof/>
          <w:sz w:val="22"/>
          <w:szCs w:val="22"/>
        </w:rPr>
      </w:pPr>
      <w:r w:rsidRPr="00003F98">
        <w:rPr>
          <w:b/>
          <w:noProof/>
          <w:sz w:val="22"/>
          <w:szCs w:val="22"/>
        </w:rPr>
        <w:t>6.</w:t>
      </w:r>
      <w:r w:rsidRPr="00003F98">
        <w:rPr>
          <w:b/>
          <w:noProof/>
          <w:sz w:val="22"/>
          <w:szCs w:val="22"/>
        </w:rPr>
        <w:tab/>
        <w:t>Contenuto della confezione e altre informazioni</w:t>
      </w:r>
    </w:p>
    <w:p w14:paraId="7ECD149B" w14:textId="77777777" w:rsidR="0062135B" w:rsidRPr="00003F98" w:rsidRDefault="0062135B" w:rsidP="0062135B">
      <w:pPr>
        <w:ind w:right="-2"/>
        <w:rPr>
          <w:noProof/>
          <w:sz w:val="22"/>
          <w:szCs w:val="22"/>
        </w:rPr>
      </w:pPr>
    </w:p>
    <w:p w14:paraId="1C9C809D" w14:textId="77777777" w:rsidR="0062135B" w:rsidRPr="00003F98" w:rsidRDefault="0062135B" w:rsidP="0062135B">
      <w:pPr>
        <w:ind w:right="-2"/>
        <w:rPr>
          <w:b/>
          <w:noProof/>
          <w:sz w:val="22"/>
          <w:szCs w:val="22"/>
        </w:rPr>
      </w:pPr>
      <w:r w:rsidRPr="00003F98">
        <w:rPr>
          <w:b/>
          <w:noProof/>
          <w:sz w:val="22"/>
          <w:szCs w:val="22"/>
        </w:rPr>
        <w:t>Cosa contiene Tantum Verde Gola</w:t>
      </w:r>
    </w:p>
    <w:p w14:paraId="3AFEB5B7" w14:textId="2BB8D81E" w:rsidR="0062135B" w:rsidRPr="00003F98" w:rsidRDefault="0062135B" w:rsidP="0062135B">
      <w:pPr>
        <w:widowControl w:val="0"/>
        <w:numPr>
          <w:ilvl w:val="0"/>
          <w:numId w:val="1"/>
        </w:numPr>
        <w:jc w:val="both"/>
        <w:rPr>
          <w:sz w:val="22"/>
          <w:szCs w:val="22"/>
        </w:rPr>
      </w:pPr>
      <w:r w:rsidRPr="00003F98">
        <w:rPr>
          <w:sz w:val="22"/>
          <w:szCs w:val="22"/>
        </w:rPr>
        <w:t xml:space="preserve">il principio attivo è: </w:t>
      </w:r>
      <w:proofErr w:type="spellStart"/>
      <w:r w:rsidRPr="00003F98">
        <w:rPr>
          <w:sz w:val="22"/>
          <w:szCs w:val="22"/>
        </w:rPr>
        <w:t>flurbiprofene</w:t>
      </w:r>
      <w:proofErr w:type="spellEnd"/>
      <w:r w:rsidRPr="00003F98">
        <w:rPr>
          <w:sz w:val="22"/>
          <w:szCs w:val="22"/>
        </w:rPr>
        <w:t xml:space="preserve">. 100 ml di collutorio contengono 250 mg di </w:t>
      </w:r>
      <w:proofErr w:type="spellStart"/>
      <w:r w:rsidRPr="00003F98">
        <w:rPr>
          <w:sz w:val="22"/>
          <w:szCs w:val="22"/>
        </w:rPr>
        <w:t>flurbiprofene</w:t>
      </w:r>
      <w:proofErr w:type="spellEnd"/>
      <w:r w:rsidR="00F6055F">
        <w:rPr>
          <w:sz w:val="22"/>
          <w:szCs w:val="22"/>
        </w:rPr>
        <w:t xml:space="preserve"> </w:t>
      </w:r>
    </w:p>
    <w:p w14:paraId="588E0D8A" w14:textId="77777777" w:rsidR="0062135B" w:rsidRPr="005719B0" w:rsidRDefault="0062135B" w:rsidP="0062135B">
      <w:pPr>
        <w:widowControl w:val="0"/>
        <w:numPr>
          <w:ilvl w:val="0"/>
          <w:numId w:val="1"/>
        </w:numPr>
        <w:jc w:val="both"/>
        <w:rPr>
          <w:sz w:val="22"/>
          <w:szCs w:val="22"/>
        </w:rPr>
      </w:pPr>
      <w:r w:rsidRPr="00003F98">
        <w:rPr>
          <w:sz w:val="22"/>
          <w:szCs w:val="22"/>
        </w:rPr>
        <w:t xml:space="preserve">gli altri componenti sono: glicerolo, </w:t>
      </w:r>
      <w:r w:rsidRPr="00EB4B6A">
        <w:rPr>
          <w:b/>
          <w:bCs/>
          <w:sz w:val="22"/>
          <w:szCs w:val="22"/>
        </w:rPr>
        <w:t>etanolo (96 %)</w:t>
      </w:r>
      <w:r w:rsidRPr="00003F98">
        <w:rPr>
          <w:sz w:val="22"/>
          <w:szCs w:val="22"/>
        </w:rPr>
        <w:t xml:space="preserve">, sorbitolo </w:t>
      </w:r>
      <w:bookmarkStart w:id="41" w:name="OLE_LINK1"/>
      <w:bookmarkStart w:id="42" w:name="OLE_LINK2"/>
      <w:r w:rsidRPr="00003F98">
        <w:rPr>
          <w:sz w:val="22"/>
          <w:szCs w:val="22"/>
        </w:rPr>
        <w:t>liquido cristallizzabile</w:t>
      </w:r>
      <w:bookmarkEnd w:id="41"/>
      <w:bookmarkEnd w:id="42"/>
      <w:r w:rsidRPr="00003F98">
        <w:rPr>
          <w:sz w:val="22"/>
          <w:szCs w:val="22"/>
        </w:rPr>
        <w:t xml:space="preserve">, </w:t>
      </w:r>
      <w:r w:rsidRPr="00EB4B6A">
        <w:rPr>
          <w:b/>
          <w:bCs/>
          <w:sz w:val="22"/>
          <w:szCs w:val="22"/>
        </w:rPr>
        <w:t xml:space="preserve">olio di ricino 40 </w:t>
      </w:r>
      <w:proofErr w:type="spellStart"/>
      <w:r w:rsidRPr="00EB4B6A">
        <w:rPr>
          <w:b/>
          <w:bCs/>
          <w:sz w:val="22"/>
          <w:szCs w:val="22"/>
        </w:rPr>
        <w:t>poliossietilenato</w:t>
      </w:r>
      <w:proofErr w:type="spellEnd"/>
      <w:r w:rsidRPr="00EB4B6A">
        <w:rPr>
          <w:b/>
          <w:bCs/>
          <w:sz w:val="22"/>
          <w:szCs w:val="22"/>
        </w:rPr>
        <w:t xml:space="preserve"> idrogenato</w:t>
      </w:r>
      <w:r w:rsidRPr="00003F98">
        <w:rPr>
          <w:sz w:val="22"/>
          <w:szCs w:val="22"/>
        </w:rPr>
        <w:t>, saccarina sodica, potassio bicarbonato</w:t>
      </w:r>
      <w:r w:rsidRPr="00647DD0">
        <w:rPr>
          <w:b/>
          <w:sz w:val="22"/>
          <w:szCs w:val="22"/>
        </w:rPr>
        <w:t>, sodio benzoato, aroma menta</w:t>
      </w:r>
      <w:r w:rsidRPr="00A30FD7">
        <w:rPr>
          <w:sz w:val="22"/>
          <w:szCs w:val="22"/>
        </w:rPr>
        <w:t xml:space="preserve"> </w:t>
      </w:r>
      <w:r>
        <w:rPr>
          <w:sz w:val="22"/>
          <w:szCs w:val="22"/>
        </w:rPr>
        <w:t>(vedere paragrafo “Tantum Verde Gola contiene”)</w:t>
      </w:r>
      <w:r w:rsidRPr="003A4265">
        <w:rPr>
          <w:sz w:val="22"/>
          <w:szCs w:val="22"/>
        </w:rPr>
        <w:t>, acqua depurata.</w:t>
      </w:r>
    </w:p>
    <w:p w14:paraId="5CAA3BBA" w14:textId="77777777" w:rsidR="0062135B" w:rsidRPr="00003F98" w:rsidRDefault="0062135B" w:rsidP="0062135B">
      <w:pPr>
        <w:widowControl w:val="0"/>
        <w:numPr>
          <w:ilvl w:val="0"/>
          <w:numId w:val="1"/>
        </w:numPr>
        <w:ind w:left="357" w:hanging="357"/>
        <w:jc w:val="both"/>
        <w:rPr>
          <w:sz w:val="22"/>
          <w:szCs w:val="22"/>
        </w:rPr>
      </w:pPr>
      <w:r w:rsidRPr="00003F98">
        <w:rPr>
          <w:sz w:val="22"/>
          <w:szCs w:val="22"/>
        </w:rPr>
        <w:t xml:space="preserve">, blu </w:t>
      </w:r>
      <w:proofErr w:type="spellStart"/>
      <w:r w:rsidRPr="00003F98">
        <w:rPr>
          <w:sz w:val="22"/>
          <w:szCs w:val="22"/>
        </w:rPr>
        <w:t>patent</w:t>
      </w:r>
      <w:proofErr w:type="spellEnd"/>
      <w:r w:rsidRPr="00003F98">
        <w:rPr>
          <w:sz w:val="22"/>
          <w:szCs w:val="22"/>
        </w:rPr>
        <w:t xml:space="preserve"> V (E131), acqua depurata.</w:t>
      </w:r>
    </w:p>
    <w:p w14:paraId="09C22B2F" w14:textId="77777777" w:rsidR="0062135B" w:rsidRPr="00003F98" w:rsidRDefault="0062135B" w:rsidP="0062135B">
      <w:pPr>
        <w:widowControl w:val="0"/>
        <w:jc w:val="both"/>
        <w:rPr>
          <w:b/>
          <w:noProof/>
          <w:sz w:val="22"/>
          <w:szCs w:val="22"/>
        </w:rPr>
      </w:pPr>
    </w:p>
    <w:p w14:paraId="78FF7107" w14:textId="77777777" w:rsidR="0062135B" w:rsidRPr="00003F98" w:rsidRDefault="0062135B" w:rsidP="0062135B">
      <w:pPr>
        <w:widowControl w:val="0"/>
        <w:jc w:val="both"/>
        <w:rPr>
          <w:sz w:val="22"/>
          <w:szCs w:val="22"/>
        </w:rPr>
      </w:pPr>
      <w:r w:rsidRPr="00003F98">
        <w:rPr>
          <w:b/>
          <w:noProof/>
          <w:sz w:val="22"/>
          <w:szCs w:val="22"/>
        </w:rPr>
        <w:t>Descrizione dell’aspetto di Tantum Verde Gola e contenuto della confezione</w:t>
      </w:r>
    </w:p>
    <w:p w14:paraId="7AA01A44" w14:textId="77777777" w:rsidR="0062135B" w:rsidRPr="00003F98" w:rsidRDefault="0062135B" w:rsidP="0062135B">
      <w:pPr>
        <w:widowControl w:val="0"/>
        <w:jc w:val="both"/>
        <w:rPr>
          <w:sz w:val="22"/>
          <w:szCs w:val="22"/>
        </w:rPr>
      </w:pPr>
      <w:r w:rsidRPr="00003F98">
        <w:rPr>
          <w:sz w:val="22"/>
          <w:szCs w:val="22"/>
        </w:rPr>
        <w:t>Tantum Verde Gola 250mg/100ml collutorio si presenta come collutorio in un flacone di vetro scuro da 160 ml dotato di bicchierino dosatore.</w:t>
      </w:r>
    </w:p>
    <w:p w14:paraId="6B1CA54D" w14:textId="77777777" w:rsidR="0062135B" w:rsidRPr="00003F98" w:rsidRDefault="0062135B" w:rsidP="0062135B">
      <w:pPr>
        <w:widowControl w:val="0"/>
        <w:jc w:val="both"/>
        <w:rPr>
          <w:b/>
          <w:caps/>
          <w:sz w:val="22"/>
          <w:szCs w:val="22"/>
        </w:rPr>
      </w:pPr>
    </w:p>
    <w:p w14:paraId="44FE6BE4" w14:textId="77777777" w:rsidR="0062135B" w:rsidRPr="00003F98" w:rsidRDefault="0062135B" w:rsidP="0062135B">
      <w:pPr>
        <w:tabs>
          <w:tab w:val="left" w:pos="284"/>
        </w:tabs>
        <w:rPr>
          <w:b/>
          <w:sz w:val="22"/>
          <w:szCs w:val="22"/>
        </w:rPr>
      </w:pPr>
      <w:r w:rsidRPr="00003F98">
        <w:rPr>
          <w:b/>
          <w:sz w:val="22"/>
          <w:szCs w:val="22"/>
        </w:rPr>
        <w:t>Titolare dell’autorizzazione all’immissione in commercio</w:t>
      </w:r>
    </w:p>
    <w:p w14:paraId="6F7DD979" w14:textId="77777777" w:rsidR="0062135B" w:rsidRPr="00003F98" w:rsidRDefault="0062135B" w:rsidP="0062135B">
      <w:pPr>
        <w:widowControl w:val="0"/>
        <w:jc w:val="both"/>
        <w:rPr>
          <w:sz w:val="22"/>
          <w:szCs w:val="22"/>
        </w:rPr>
      </w:pPr>
      <w:r>
        <w:t xml:space="preserve">Angelini Pharma S.p.A. </w:t>
      </w:r>
    </w:p>
    <w:p w14:paraId="4A0CFA62" w14:textId="77777777" w:rsidR="0062135B" w:rsidRPr="00003F98" w:rsidRDefault="0062135B" w:rsidP="0062135B">
      <w:pPr>
        <w:widowControl w:val="0"/>
        <w:jc w:val="both"/>
        <w:rPr>
          <w:sz w:val="22"/>
          <w:szCs w:val="22"/>
        </w:rPr>
      </w:pPr>
      <w:r w:rsidRPr="00003F98">
        <w:rPr>
          <w:sz w:val="22"/>
          <w:szCs w:val="22"/>
        </w:rPr>
        <w:t>Viale Amelia 70</w:t>
      </w:r>
    </w:p>
    <w:p w14:paraId="6EEE4C27" w14:textId="77777777" w:rsidR="0062135B" w:rsidRPr="00003F98" w:rsidRDefault="0062135B" w:rsidP="0062135B">
      <w:pPr>
        <w:widowControl w:val="0"/>
        <w:jc w:val="both"/>
        <w:rPr>
          <w:sz w:val="22"/>
          <w:szCs w:val="22"/>
        </w:rPr>
      </w:pPr>
      <w:r w:rsidRPr="00003F98">
        <w:rPr>
          <w:sz w:val="22"/>
          <w:szCs w:val="22"/>
        </w:rPr>
        <w:t xml:space="preserve">00181 Roma </w:t>
      </w:r>
    </w:p>
    <w:p w14:paraId="46EC6A1B" w14:textId="77777777" w:rsidR="0062135B" w:rsidRPr="00003F98" w:rsidRDefault="0062135B" w:rsidP="0062135B">
      <w:pPr>
        <w:widowControl w:val="0"/>
        <w:jc w:val="both"/>
        <w:rPr>
          <w:b/>
          <w:sz w:val="22"/>
          <w:szCs w:val="22"/>
        </w:rPr>
      </w:pPr>
    </w:p>
    <w:p w14:paraId="76AF640C" w14:textId="77777777" w:rsidR="0062135B" w:rsidRPr="00003F98" w:rsidRDefault="0062135B" w:rsidP="0062135B">
      <w:pPr>
        <w:widowControl w:val="0"/>
        <w:jc w:val="both"/>
        <w:rPr>
          <w:b/>
          <w:caps/>
          <w:sz w:val="22"/>
          <w:szCs w:val="22"/>
        </w:rPr>
      </w:pPr>
      <w:r w:rsidRPr="00003F98">
        <w:rPr>
          <w:b/>
          <w:sz w:val="22"/>
          <w:szCs w:val="22"/>
        </w:rPr>
        <w:t>Produttore</w:t>
      </w:r>
      <w:r w:rsidRPr="00003F98" w:rsidDel="000722CE">
        <w:rPr>
          <w:b/>
          <w:caps/>
          <w:sz w:val="22"/>
          <w:szCs w:val="22"/>
        </w:rPr>
        <w:t xml:space="preserve"> </w:t>
      </w:r>
    </w:p>
    <w:p w14:paraId="419E232F" w14:textId="77777777" w:rsidR="0062135B" w:rsidRPr="00003F98" w:rsidRDefault="0062135B" w:rsidP="0062135B">
      <w:pPr>
        <w:widowControl w:val="0"/>
        <w:jc w:val="both"/>
        <w:rPr>
          <w:sz w:val="22"/>
          <w:szCs w:val="22"/>
        </w:rPr>
      </w:pPr>
      <w:r w:rsidRPr="00003F98">
        <w:rPr>
          <w:sz w:val="22"/>
          <w:szCs w:val="22"/>
        </w:rPr>
        <w:t>A.C.R.A.F. S.p.A., Via Vecchia del Pinocchio, 22 - 60131 Ancona</w:t>
      </w:r>
    </w:p>
    <w:p w14:paraId="6AB8A19B" w14:textId="77777777" w:rsidR="0062135B" w:rsidRPr="00003F98" w:rsidRDefault="0062135B" w:rsidP="0062135B">
      <w:pPr>
        <w:widowControl w:val="0"/>
        <w:jc w:val="both"/>
        <w:rPr>
          <w:sz w:val="22"/>
          <w:szCs w:val="22"/>
        </w:rPr>
      </w:pPr>
    </w:p>
    <w:p w14:paraId="481CA7DA" w14:textId="77777777" w:rsidR="0062135B" w:rsidRPr="00003F98" w:rsidRDefault="0062135B" w:rsidP="0062135B">
      <w:pPr>
        <w:widowControl w:val="0"/>
        <w:jc w:val="both"/>
        <w:rPr>
          <w:sz w:val="22"/>
          <w:szCs w:val="22"/>
        </w:rPr>
      </w:pPr>
    </w:p>
    <w:p w14:paraId="0E60294B" w14:textId="1A5A6FB6" w:rsidR="0062135B" w:rsidRPr="00003F98" w:rsidRDefault="0062135B" w:rsidP="0062135B">
      <w:pPr>
        <w:numPr>
          <w:ilvl w:val="12"/>
          <w:numId w:val="0"/>
        </w:numPr>
        <w:ind w:right="-2"/>
        <w:outlineLvl w:val="0"/>
        <w:rPr>
          <w:b/>
          <w:noProof/>
          <w:sz w:val="22"/>
          <w:szCs w:val="22"/>
        </w:rPr>
      </w:pPr>
      <w:r w:rsidRPr="00003F98">
        <w:rPr>
          <w:b/>
          <w:noProof/>
          <w:sz w:val="22"/>
          <w:szCs w:val="22"/>
        </w:rPr>
        <w:t xml:space="preserve">Questo foglio illustrativo è stato aggiornato </w:t>
      </w:r>
      <w:r w:rsidR="00EB4B6A">
        <w:rPr>
          <w:b/>
          <w:noProof/>
          <w:sz w:val="22"/>
          <w:szCs w:val="22"/>
        </w:rPr>
        <w:t>a novembre 2025</w:t>
      </w:r>
    </w:p>
    <w:p w14:paraId="1A1CE695" w14:textId="77777777" w:rsidR="0062135B" w:rsidRPr="00003F98" w:rsidRDefault="0062135B" w:rsidP="0062135B">
      <w:pPr>
        <w:rPr>
          <w:sz w:val="22"/>
          <w:szCs w:val="22"/>
        </w:rPr>
      </w:pPr>
    </w:p>
    <w:p w14:paraId="61C6AEC7" w14:textId="77777777" w:rsidR="0062135B" w:rsidRDefault="0062135B" w:rsidP="0062135B">
      <w:pPr>
        <w:pStyle w:val="Corpodeltesto2"/>
        <w:spacing w:before="0"/>
        <w:rPr>
          <w:rFonts w:ascii="Times New Roman" w:hAnsi="Times New Roman"/>
          <w:sz w:val="22"/>
          <w:szCs w:val="22"/>
        </w:rPr>
      </w:pPr>
    </w:p>
    <w:sectPr w:rsidR="0062135B" w:rsidSect="00756D0A">
      <w:footerReference w:type="even" r:id="rId8"/>
      <w:footerReference w:type="default" r:id="rId9"/>
      <w:pgSz w:w="12240" w:h="15840"/>
      <w:pgMar w:top="1417" w:right="1134" w:bottom="1134" w:left="1134"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B4D5" w14:textId="77777777" w:rsidR="00F07369" w:rsidRDefault="00F07369">
      <w:r>
        <w:separator/>
      </w:r>
    </w:p>
  </w:endnote>
  <w:endnote w:type="continuationSeparator" w:id="0">
    <w:p w14:paraId="1C6C37FD" w14:textId="77777777" w:rsidR="00F07369" w:rsidRDefault="00F0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E37B" w14:textId="77777777" w:rsidR="00A30FD7" w:rsidRDefault="00A30FD7" w:rsidP="00756D0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93995CA" w14:textId="77777777" w:rsidR="00A30FD7" w:rsidRDefault="00A30FD7" w:rsidP="002A546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75FC" w14:textId="2C8D3C50" w:rsidR="00A30FD7" w:rsidRPr="002A5460" w:rsidRDefault="00A30FD7" w:rsidP="00756D0A">
    <w:pPr>
      <w:pStyle w:val="Pidipagina"/>
      <w:framePr w:wrap="around" w:vAnchor="text" w:hAnchor="margin" w:xAlign="right" w:y="1"/>
      <w:rPr>
        <w:rStyle w:val="Numeropagina"/>
        <w:rFonts w:ascii="Verdana" w:hAnsi="Verdana"/>
        <w:sz w:val="16"/>
        <w:szCs w:val="16"/>
      </w:rPr>
    </w:pPr>
    <w:r w:rsidRPr="002A5460">
      <w:rPr>
        <w:rStyle w:val="Numeropagina"/>
        <w:rFonts w:ascii="Verdana" w:hAnsi="Verdana"/>
        <w:sz w:val="16"/>
        <w:szCs w:val="16"/>
      </w:rPr>
      <w:fldChar w:fldCharType="begin"/>
    </w:r>
    <w:r w:rsidRPr="002A5460">
      <w:rPr>
        <w:rStyle w:val="Numeropagina"/>
        <w:rFonts w:ascii="Verdana" w:hAnsi="Verdana"/>
        <w:sz w:val="16"/>
        <w:szCs w:val="16"/>
      </w:rPr>
      <w:instrText xml:space="preserve">PAGE  </w:instrText>
    </w:r>
    <w:r w:rsidRPr="002A5460">
      <w:rPr>
        <w:rStyle w:val="Numeropagina"/>
        <w:rFonts w:ascii="Verdana" w:hAnsi="Verdana"/>
        <w:sz w:val="16"/>
        <w:szCs w:val="16"/>
      </w:rPr>
      <w:fldChar w:fldCharType="separate"/>
    </w:r>
    <w:r w:rsidR="00813921">
      <w:rPr>
        <w:rStyle w:val="Numeropagina"/>
        <w:rFonts w:ascii="Verdana" w:hAnsi="Verdana"/>
        <w:noProof/>
        <w:sz w:val="16"/>
        <w:szCs w:val="16"/>
      </w:rPr>
      <w:t>18</w:t>
    </w:r>
    <w:r w:rsidRPr="002A5460">
      <w:rPr>
        <w:rStyle w:val="Numeropagina"/>
        <w:rFonts w:ascii="Verdana" w:hAnsi="Verdana"/>
        <w:sz w:val="16"/>
        <w:szCs w:val="16"/>
      </w:rPr>
      <w:fldChar w:fldCharType="end"/>
    </w:r>
  </w:p>
  <w:p w14:paraId="68562846" w14:textId="77777777" w:rsidR="00A30FD7" w:rsidRDefault="00A30FD7" w:rsidP="002A546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8DD2" w14:textId="77777777" w:rsidR="00F07369" w:rsidRDefault="00F07369">
      <w:r>
        <w:separator/>
      </w:r>
    </w:p>
  </w:footnote>
  <w:footnote w:type="continuationSeparator" w:id="0">
    <w:p w14:paraId="44299DEF" w14:textId="77777777" w:rsidR="00F07369" w:rsidRDefault="00F07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24C91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BC2C01"/>
    <w:multiLevelType w:val="hybridMultilevel"/>
    <w:tmpl w:val="7938E562"/>
    <w:lvl w:ilvl="0" w:tplc="04100011">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7C38BD"/>
    <w:multiLevelType w:val="hybridMultilevel"/>
    <w:tmpl w:val="B1989DBA"/>
    <w:lvl w:ilvl="0" w:tplc="74A67D22">
      <w:start w:val="1"/>
      <w:numFmt w:val="bullet"/>
      <w:lvlText w:val="-"/>
      <w:lvlJc w:val="left"/>
      <w:pPr>
        <w:ind w:left="360" w:hanging="360"/>
      </w:pPr>
      <w:rPr>
        <w:rFonts w:ascii="Arial"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C8A4BF0"/>
    <w:multiLevelType w:val="hybridMultilevel"/>
    <w:tmpl w:val="0302B4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E412D0"/>
    <w:multiLevelType w:val="hybridMultilevel"/>
    <w:tmpl w:val="C088B19E"/>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BA6433"/>
    <w:multiLevelType w:val="hybridMultilevel"/>
    <w:tmpl w:val="AC9C51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E620CE"/>
    <w:multiLevelType w:val="hybridMultilevel"/>
    <w:tmpl w:val="515821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301EDD"/>
    <w:multiLevelType w:val="hybridMultilevel"/>
    <w:tmpl w:val="DCDED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330866"/>
    <w:multiLevelType w:val="hybridMultilevel"/>
    <w:tmpl w:val="7938E562"/>
    <w:lvl w:ilvl="0" w:tplc="04100011">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CA1148"/>
    <w:multiLevelType w:val="hybridMultilevel"/>
    <w:tmpl w:val="8BDE6A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E265B8"/>
    <w:multiLevelType w:val="hybridMultilevel"/>
    <w:tmpl w:val="135AAA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BD61C3"/>
    <w:multiLevelType w:val="hybridMultilevel"/>
    <w:tmpl w:val="64184ADC"/>
    <w:lvl w:ilvl="0" w:tplc="74A67D2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367ADA"/>
    <w:multiLevelType w:val="hybridMultilevel"/>
    <w:tmpl w:val="9870A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F329A4"/>
    <w:multiLevelType w:val="hybridMultilevel"/>
    <w:tmpl w:val="3752A336"/>
    <w:lvl w:ilvl="0" w:tplc="B602020A">
      <w:start w:val="1"/>
      <w:numFmt w:val="bullet"/>
      <w:lvlText w:val=""/>
      <w:lvlJc w:val="left"/>
      <w:pPr>
        <w:ind w:left="1856" w:hanging="360"/>
      </w:pPr>
      <w:rPr>
        <w:rFonts w:ascii="Symbol" w:hAnsi="Symbol" w:hint="default"/>
        <w:color w:val="auto"/>
        <w:u w:val="none"/>
      </w:rPr>
    </w:lvl>
    <w:lvl w:ilvl="1" w:tplc="04100003" w:tentative="1">
      <w:start w:val="1"/>
      <w:numFmt w:val="bullet"/>
      <w:lvlText w:val="o"/>
      <w:lvlJc w:val="left"/>
      <w:pPr>
        <w:ind w:left="2576" w:hanging="360"/>
      </w:pPr>
      <w:rPr>
        <w:rFonts w:ascii="Courier New" w:hAnsi="Courier New" w:hint="default"/>
      </w:rPr>
    </w:lvl>
    <w:lvl w:ilvl="2" w:tplc="04100005" w:tentative="1">
      <w:start w:val="1"/>
      <w:numFmt w:val="bullet"/>
      <w:lvlText w:val=""/>
      <w:lvlJc w:val="left"/>
      <w:pPr>
        <w:ind w:left="3296" w:hanging="360"/>
      </w:pPr>
      <w:rPr>
        <w:rFonts w:ascii="Wingdings" w:hAnsi="Wingdings" w:hint="default"/>
      </w:rPr>
    </w:lvl>
    <w:lvl w:ilvl="3" w:tplc="04100001" w:tentative="1">
      <w:start w:val="1"/>
      <w:numFmt w:val="bullet"/>
      <w:lvlText w:val=""/>
      <w:lvlJc w:val="left"/>
      <w:pPr>
        <w:ind w:left="4016" w:hanging="360"/>
      </w:pPr>
      <w:rPr>
        <w:rFonts w:ascii="Symbol" w:hAnsi="Symbol" w:hint="default"/>
      </w:rPr>
    </w:lvl>
    <w:lvl w:ilvl="4" w:tplc="04100003" w:tentative="1">
      <w:start w:val="1"/>
      <w:numFmt w:val="bullet"/>
      <w:lvlText w:val="o"/>
      <w:lvlJc w:val="left"/>
      <w:pPr>
        <w:ind w:left="4736" w:hanging="360"/>
      </w:pPr>
      <w:rPr>
        <w:rFonts w:ascii="Courier New" w:hAnsi="Courier New" w:hint="default"/>
      </w:rPr>
    </w:lvl>
    <w:lvl w:ilvl="5" w:tplc="04100005" w:tentative="1">
      <w:start w:val="1"/>
      <w:numFmt w:val="bullet"/>
      <w:lvlText w:val=""/>
      <w:lvlJc w:val="left"/>
      <w:pPr>
        <w:ind w:left="5456" w:hanging="360"/>
      </w:pPr>
      <w:rPr>
        <w:rFonts w:ascii="Wingdings" w:hAnsi="Wingdings" w:hint="default"/>
      </w:rPr>
    </w:lvl>
    <w:lvl w:ilvl="6" w:tplc="04100001" w:tentative="1">
      <w:start w:val="1"/>
      <w:numFmt w:val="bullet"/>
      <w:lvlText w:val=""/>
      <w:lvlJc w:val="left"/>
      <w:pPr>
        <w:ind w:left="6176" w:hanging="360"/>
      </w:pPr>
      <w:rPr>
        <w:rFonts w:ascii="Symbol" w:hAnsi="Symbol" w:hint="default"/>
      </w:rPr>
    </w:lvl>
    <w:lvl w:ilvl="7" w:tplc="04100003" w:tentative="1">
      <w:start w:val="1"/>
      <w:numFmt w:val="bullet"/>
      <w:lvlText w:val="o"/>
      <w:lvlJc w:val="left"/>
      <w:pPr>
        <w:ind w:left="6896" w:hanging="360"/>
      </w:pPr>
      <w:rPr>
        <w:rFonts w:ascii="Courier New" w:hAnsi="Courier New" w:hint="default"/>
      </w:rPr>
    </w:lvl>
    <w:lvl w:ilvl="8" w:tplc="04100005" w:tentative="1">
      <w:start w:val="1"/>
      <w:numFmt w:val="bullet"/>
      <w:lvlText w:val=""/>
      <w:lvlJc w:val="left"/>
      <w:pPr>
        <w:ind w:left="7616" w:hanging="360"/>
      </w:pPr>
      <w:rPr>
        <w:rFonts w:ascii="Wingdings" w:hAnsi="Wingdings" w:hint="default"/>
      </w:rPr>
    </w:lvl>
  </w:abstractNum>
  <w:abstractNum w:abstractNumId="15" w15:restartNumberingAfterBreak="0">
    <w:nsid w:val="530C356B"/>
    <w:multiLevelType w:val="hybridMultilevel"/>
    <w:tmpl w:val="08B6839E"/>
    <w:lvl w:ilvl="0" w:tplc="AA201F72">
      <w:start w:val="1"/>
      <w:numFmt w:val="bullet"/>
      <w:lvlText w:val="-"/>
      <w:lvlJc w:val="left"/>
      <w:pPr>
        <w:tabs>
          <w:tab w:val="num" w:pos="1470"/>
        </w:tabs>
        <w:ind w:left="1470" w:hanging="57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85F7D"/>
    <w:multiLevelType w:val="hybridMultilevel"/>
    <w:tmpl w:val="04DE2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7F47D4"/>
    <w:multiLevelType w:val="hybridMultilevel"/>
    <w:tmpl w:val="B95EC60C"/>
    <w:lvl w:ilvl="0" w:tplc="AA201F72">
      <w:start w:val="1"/>
      <w:numFmt w:val="bullet"/>
      <w:lvlText w:val="-"/>
      <w:lvlJc w:val="left"/>
      <w:pPr>
        <w:tabs>
          <w:tab w:val="num" w:pos="1470"/>
        </w:tabs>
        <w:ind w:left="1470" w:hanging="57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FF043B"/>
    <w:multiLevelType w:val="hybridMultilevel"/>
    <w:tmpl w:val="E808F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7A561F1"/>
    <w:multiLevelType w:val="hybridMultilevel"/>
    <w:tmpl w:val="6B786ED4"/>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20" w15:restartNumberingAfterBreak="0">
    <w:nsid w:val="704C5631"/>
    <w:multiLevelType w:val="hybridMultilevel"/>
    <w:tmpl w:val="3B7EA480"/>
    <w:lvl w:ilvl="0" w:tplc="752A5F4C">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A3303C"/>
    <w:multiLevelType w:val="hybridMultilevel"/>
    <w:tmpl w:val="37508A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2216793">
    <w:abstractNumId w:val="1"/>
    <w:lvlOverride w:ilvl="0">
      <w:lvl w:ilvl="0">
        <w:start w:val="1"/>
        <w:numFmt w:val="bullet"/>
        <w:lvlText w:val="-"/>
        <w:lvlJc w:val="left"/>
        <w:pPr>
          <w:ind w:left="360" w:hanging="360"/>
        </w:pPr>
      </w:lvl>
    </w:lvlOverride>
  </w:num>
  <w:num w:numId="2" w16cid:durableId="1162309378">
    <w:abstractNumId w:val="0"/>
  </w:num>
  <w:num w:numId="3" w16cid:durableId="755051918">
    <w:abstractNumId w:val="7"/>
  </w:num>
  <w:num w:numId="4" w16cid:durableId="1800760086">
    <w:abstractNumId w:val="9"/>
  </w:num>
  <w:num w:numId="5" w16cid:durableId="1586647225">
    <w:abstractNumId w:val="17"/>
  </w:num>
  <w:num w:numId="6" w16cid:durableId="1512060533">
    <w:abstractNumId w:val="15"/>
  </w:num>
  <w:num w:numId="7" w16cid:durableId="1512061661">
    <w:abstractNumId w:val="14"/>
  </w:num>
  <w:num w:numId="8" w16cid:durableId="339627972">
    <w:abstractNumId w:val="2"/>
  </w:num>
  <w:num w:numId="9" w16cid:durableId="713505843">
    <w:abstractNumId w:val="20"/>
  </w:num>
  <w:num w:numId="10" w16cid:durableId="276185203">
    <w:abstractNumId w:val="5"/>
  </w:num>
  <w:num w:numId="11" w16cid:durableId="107089034">
    <w:abstractNumId w:val="1"/>
    <w:lvlOverride w:ilvl="0">
      <w:lvl w:ilvl="0">
        <w:start w:val="1"/>
        <w:numFmt w:val="bullet"/>
        <w:lvlText w:val="-"/>
        <w:legacy w:legacy="1" w:legacySpace="0" w:legacyIndent="360"/>
        <w:lvlJc w:val="left"/>
        <w:pPr>
          <w:ind w:left="360" w:hanging="360"/>
        </w:pPr>
      </w:lvl>
    </w:lvlOverride>
  </w:num>
  <w:num w:numId="12" w16cid:durableId="1381590728">
    <w:abstractNumId w:val="8"/>
  </w:num>
  <w:num w:numId="13" w16cid:durableId="1512531461">
    <w:abstractNumId w:val="10"/>
  </w:num>
  <w:num w:numId="14" w16cid:durableId="1623851860">
    <w:abstractNumId w:val="16"/>
  </w:num>
  <w:num w:numId="15" w16cid:durableId="173155468">
    <w:abstractNumId w:val="12"/>
  </w:num>
  <w:num w:numId="16" w16cid:durableId="2123918404">
    <w:abstractNumId w:val="3"/>
  </w:num>
  <w:num w:numId="17" w16cid:durableId="866792492">
    <w:abstractNumId w:val="11"/>
  </w:num>
  <w:num w:numId="18" w16cid:durableId="158619471">
    <w:abstractNumId w:val="13"/>
  </w:num>
  <w:num w:numId="19" w16cid:durableId="1621455612">
    <w:abstractNumId w:val="4"/>
  </w:num>
  <w:num w:numId="20" w16cid:durableId="1091201084">
    <w:abstractNumId w:val="6"/>
  </w:num>
  <w:num w:numId="21" w16cid:durableId="446051256">
    <w:abstractNumId w:val="18"/>
  </w:num>
  <w:num w:numId="22" w16cid:durableId="274365881">
    <w:abstractNumId w:val="21"/>
  </w:num>
  <w:num w:numId="23" w16cid:durableId="39936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460"/>
    <w:rsid w:val="00003F98"/>
    <w:rsid w:val="00007E76"/>
    <w:rsid w:val="0001144D"/>
    <w:rsid w:val="00023449"/>
    <w:rsid w:val="00023582"/>
    <w:rsid w:val="00031619"/>
    <w:rsid w:val="00034663"/>
    <w:rsid w:val="000409B4"/>
    <w:rsid w:val="000461A4"/>
    <w:rsid w:val="00046791"/>
    <w:rsid w:val="00051172"/>
    <w:rsid w:val="00051316"/>
    <w:rsid w:val="00053334"/>
    <w:rsid w:val="000537F0"/>
    <w:rsid w:val="000545B1"/>
    <w:rsid w:val="000563C6"/>
    <w:rsid w:val="00060E2F"/>
    <w:rsid w:val="00061B16"/>
    <w:rsid w:val="00065450"/>
    <w:rsid w:val="000722CE"/>
    <w:rsid w:val="0007505F"/>
    <w:rsid w:val="000763B9"/>
    <w:rsid w:val="00076BE7"/>
    <w:rsid w:val="00076C67"/>
    <w:rsid w:val="00076E80"/>
    <w:rsid w:val="00082FD8"/>
    <w:rsid w:val="000869A0"/>
    <w:rsid w:val="00090699"/>
    <w:rsid w:val="000A389F"/>
    <w:rsid w:val="000A6FF7"/>
    <w:rsid w:val="000B09EA"/>
    <w:rsid w:val="000B329F"/>
    <w:rsid w:val="000B5254"/>
    <w:rsid w:val="000C4747"/>
    <w:rsid w:val="000C48A2"/>
    <w:rsid w:val="000E28A2"/>
    <w:rsid w:val="000E6D6E"/>
    <w:rsid w:val="000F178C"/>
    <w:rsid w:val="000F3C10"/>
    <w:rsid w:val="001021A2"/>
    <w:rsid w:val="00104D97"/>
    <w:rsid w:val="0010790F"/>
    <w:rsid w:val="0011217E"/>
    <w:rsid w:val="001161D0"/>
    <w:rsid w:val="0011793B"/>
    <w:rsid w:val="00117DE5"/>
    <w:rsid w:val="001258AF"/>
    <w:rsid w:val="0012677D"/>
    <w:rsid w:val="00132C74"/>
    <w:rsid w:val="00135AEB"/>
    <w:rsid w:val="00135C8B"/>
    <w:rsid w:val="00137D93"/>
    <w:rsid w:val="001451CF"/>
    <w:rsid w:val="00145380"/>
    <w:rsid w:val="0014704F"/>
    <w:rsid w:val="00147596"/>
    <w:rsid w:val="00150B8F"/>
    <w:rsid w:val="001579EB"/>
    <w:rsid w:val="001613AF"/>
    <w:rsid w:val="001614EB"/>
    <w:rsid w:val="00161707"/>
    <w:rsid w:val="001618F0"/>
    <w:rsid w:val="00163CB7"/>
    <w:rsid w:val="00175C76"/>
    <w:rsid w:val="00176ECA"/>
    <w:rsid w:val="001777EB"/>
    <w:rsid w:val="001837F9"/>
    <w:rsid w:val="00184960"/>
    <w:rsid w:val="00192BB0"/>
    <w:rsid w:val="001952A3"/>
    <w:rsid w:val="001A3DFF"/>
    <w:rsid w:val="001A7646"/>
    <w:rsid w:val="001B483D"/>
    <w:rsid w:val="001B76D5"/>
    <w:rsid w:val="001C2CC9"/>
    <w:rsid w:val="001C3093"/>
    <w:rsid w:val="001D15E9"/>
    <w:rsid w:val="001D1800"/>
    <w:rsid w:val="001D5371"/>
    <w:rsid w:val="001D5527"/>
    <w:rsid w:val="001D683D"/>
    <w:rsid w:val="001D73EC"/>
    <w:rsid w:val="001E37C4"/>
    <w:rsid w:val="001E672E"/>
    <w:rsid w:val="001F2A47"/>
    <w:rsid w:val="0020312A"/>
    <w:rsid w:val="00212B5D"/>
    <w:rsid w:val="002152B3"/>
    <w:rsid w:val="002317A5"/>
    <w:rsid w:val="002367AB"/>
    <w:rsid w:val="00243652"/>
    <w:rsid w:val="00246090"/>
    <w:rsid w:val="00252B50"/>
    <w:rsid w:val="00254DE5"/>
    <w:rsid w:val="00261B7A"/>
    <w:rsid w:val="00275D3C"/>
    <w:rsid w:val="00275DAA"/>
    <w:rsid w:val="00276D7B"/>
    <w:rsid w:val="00277C49"/>
    <w:rsid w:val="00280110"/>
    <w:rsid w:val="002820A9"/>
    <w:rsid w:val="002844F7"/>
    <w:rsid w:val="002855C8"/>
    <w:rsid w:val="002916E3"/>
    <w:rsid w:val="0029657B"/>
    <w:rsid w:val="002A5460"/>
    <w:rsid w:val="002B2374"/>
    <w:rsid w:val="002B26ED"/>
    <w:rsid w:val="002C0859"/>
    <w:rsid w:val="002C20E5"/>
    <w:rsid w:val="002C3572"/>
    <w:rsid w:val="002C6665"/>
    <w:rsid w:val="002C7931"/>
    <w:rsid w:val="002D00FD"/>
    <w:rsid w:val="002D23EA"/>
    <w:rsid w:val="002D7527"/>
    <w:rsid w:val="002E0660"/>
    <w:rsid w:val="002E38FE"/>
    <w:rsid w:val="002E4AAC"/>
    <w:rsid w:val="002E4F94"/>
    <w:rsid w:val="002F03A6"/>
    <w:rsid w:val="002F2CD8"/>
    <w:rsid w:val="002F50FA"/>
    <w:rsid w:val="002F6A04"/>
    <w:rsid w:val="003136BD"/>
    <w:rsid w:val="0031644D"/>
    <w:rsid w:val="003229DF"/>
    <w:rsid w:val="00323082"/>
    <w:rsid w:val="00323B78"/>
    <w:rsid w:val="00330F3A"/>
    <w:rsid w:val="00331E02"/>
    <w:rsid w:val="00333B3B"/>
    <w:rsid w:val="003416C7"/>
    <w:rsid w:val="00355E98"/>
    <w:rsid w:val="003606B4"/>
    <w:rsid w:val="00374DC9"/>
    <w:rsid w:val="003753A4"/>
    <w:rsid w:val="0038156C"/>
    <w:rsid w:val="0038275C"/>
    <w:rsid w:val="0038424E"/>
    <w:rsid w:val="00385453"/>
    <w:rsid w:val="003941E1"/>
    <w:rsid w:val="0039458A"/>
    <w:rsid w:val="003A1FDC"/>
    <w:rsid w:val="003A28B3"/>
    <w:rsid w:val="003A4265"/>
    <w:rsid w:val="003B1CEB"/>
    <w:rsid w:val="003B3474"/>
    <w:rsid w:val="003B3BE5"/>
    <w:rsid w:val="003B54FD"/>
    <w:rsid w:val="003C03CF"/>
    <w:rsid w:val="003C1BEE"/>
    <w:rsid w:val="003C1FA6"/>
    <w:rsid w:val="003C4F7D"/>
    <w:rsid w:val="003E3990"/>
    <w:rsid w:val="003E61DB"/>
    <w:rsid w:val="003F07D3"/>
    <w:rsid w:val="003F43F2"/>
    <w:rsid w:val="003F4F8A"/>
    <w:rsid w:val="004025F9"/>
    <w:rsid w:val="00404B47"/>
    <w:rsid w:val="004124AB"/>
    <w:rsid w:val="00413DFB"/>
    <w:rsid w:val="00421B78"/>
    <w:rsid w:val="004228AE"/>
    <w:rsid w:val="00423995"/>
    <w:rsid w:val="004278E1"/>
    <w:rsid w:val="00431167"/>
    <w:rsid w:val="00433A55"/>
    <w:rsid w:val="00455FB4"/>
    <w:rsid w:val="00457189"/>
    <w:rsid w:val="00460448"/>
    <w:rsid w:val="00461728"/>
    <w:rsid w:val="00461C03"/>
    <w:rsid w:val="0046355E"/>
    <w:rsid w:val="004707D7"/>
    <w:rsid w:val="00473D27"/>
    <w:rsid w:val="00474348"/>
    <w:rsid w:val="004822F8"/>
    <w:rsid w:val="00483723"/>
    <w:rsid w:val="00484311"/>
    <w:rsid w:val="004876B9"/>
    <w:rsid w:val="00487FC7"/>
    <w:rsid w:val="004A10AD"/>
    <w:rsid w:val="004A22D1"/>
    <w:rsid w:val="004A5F33"/>
    <w:rsid w:val="004A6B95"/>
    <w:rsid w:val="004B499E"/>
    <w:rsid w:val="004B6447"/>
    <w:rsid w:val="004B7570"/>
    <w:rsid w:val="004C6BC5"/>
    <w:rsid w:val="004D41FC"/>
    <w:rsid w:val="004E0715"/>
    <w:rsid w:val="004E08BC"/>
    <w:rsid w:val="004E4D2A"/>
    <w:rsid w:val="004E67EA"/>
    <w:rsid w:val="004F0477"/>
    <w:rsid w:val="004F14A0"/>
    <w:rsid w:val="004F4634"/>
    <w:rsid w:val="004F6B29"/>
    <w:rsid w:val="00501173"/>
    <w:rsid w:val="005013D7"/>
    <w:rsid w:val="00501D9B"/>
    <w:rsid w:val="005066BC"/>
    <w:rsid w:val="005067A2"/>
    <w:rsid w:val="00507ECC"/>
    <w:rsid w:val="005145CB"/>
    <w:rsid w:val="00517D76"/>
    <w:rsid w:val="00521BC5"/>
    <w:rsid w:val="005332F7"/>
    <w:rsid w:val="00535726"/>
    <w:rsid w:val="00537E00"/>
    <w:rsid w:val="0054725D"/>
    <w:rsid w:val="00547481"/>
    <w:rsid w:val="00552D83"/>
    <w:rsid w:val="0056190C"/>
    <w:rsid w:val="0056313C"/>
    <w:rsid w:val="005634DF"/>
    <w:rsid w:val="00567865"/>
    <w:rsid w:val="005719B0"/>
    <w:rsid w:val="0057424C"/>
    <w:rsid w:val="0057644D"/>
    <w:rsid w:val="00591411"/>
    <w:rsid w:val="00591680"/>
    <w:rsid w:val="005937C2"/>
    <w:rsid w:val="00593FF3"/>
    <w:rsid w:val="005A1264"/>
    <w:rsid w:val="005A6AFC"/>
    <w:rsid w:val="005A7819"/>
    <w:rsid w:val="005B33B3"/>
    <w:rsid w:val="005B63E2"/>
    <w:rsid w:val="005C0D60"/>
    <w:rsid w:val="005C5123"/>
    <w:rsid w:val="005C5D86"/>
    <w:rsid w:val="005C7337"/>
    <w:rsid w:val="005D3C81"/>
    <w:rsid w:val="005E3B1D"/>
    <w:rsid w:val="00606291"/>
    <w:rsid w:val="00606C48"/>
    <w:rsid w:val="00615417"/>
    <w:rsid w:val="0062057E"/>
    <w:rsid w:val="0062135B"/>
    <w:rsid w:val="00624060"/>
    <w:rsid w:val="00633C87"/>
    <w:rsid w:val="00633F9B"/>
    <w:rsid w:val="00642D2D"/>
    <w:rsid w:val="0064328B"/>
    <w:rsid w:val="0064442C"/>
    <w:rsid w:val="00647DD0"/>
    <w:rsid w:val="00650BF9"/>
    <w:rsid w:val="00655AE8"/>
    <w:rsid w:val="00656F49"/>
    <w:rsid w:val="00663D10"/>
    <w:rsid w:val="0066532C"/>
    <w:rsid w:val="0067251A"/>
    <w:rsid w:val="006861A2"/>
    <w:rsid w:val="00687471"/>
    <w:rsid w:val="00693167"/>
    <w:rsid w:val="006A1764"/>
    <w:rsid w:val="006A1AC5"/>
    <w:rsid w:val="006A25AE"/>
    <w:rsid w:val="006B2AD9"/>
    <w:rsid w:val="006C1040"/>
    <w:rsid w:val="006C1E12"/>
    <w:rsid w:val="006C35A4"/>
    <w:rsid w:val="006D748F"/>
    <w:rsid w:val="006E11FF"/>
    <w:rsid w:val="006E13DB"/>
    <w:rsid w:val="006F016B"/>
    <w:rsid w:val="006F1CEB"/>
    <w:rsid w:val="0070632E"/>
    <w:rsid w:val="0070741C"/>
    <w:rsid w:val="00711108"/>
    <w:rsid w:val="00714001"/>
    <w:rsid w:val="00724C40"/>
    <w:rsid w:val="007277DA"/>
    <w:rsid w:val="007316A7"/>
    <w:rsid w:val="00731E8D"/>
    <w:rsid w:val="007320E9"/>
    <w:rsid w:val="00741077"/>
    <w:rsid w:val="00742DCD"/>
    <w:rsid w:val="007431EA"/>
    <w:rsid w:val="0074747D"/>
    <w:rsid w:val="00753380"/>
    <w:rsid w:val="00756D0A"/>
    <w:rsid w:val="00764C8A"/>
    <w:rsid w:val="00765559"/>
    <w:rsid w:val="00765BE1"/>
    <w:rsid w:val="0076663B"/>
    <w:rsid w:val="007716C3"/>
    <w:rsid w:val="007778D2"/>
    <w:rsid w:val="007802BB"/>
    <w:rsid w:val="007803E8"/>
    <w:rsid w:val="00782235"/>
    <w:rsid w:val="007838AE"/>
    <w:rsid w:val="00785D9A"/>
    <w:rsid w:val="00786329"/>
    <w:rsid w:val="00792FF3"/>
    <w:rsid w:val="0079382A"/>
    <w:rsid w:val="007958CA"/>
    <w:rsid w:val="007A6B5F"/>
    <w:rsid w:val="007B076A"/>
    <w:rsid w:val="007B566E"/>
    <w:rsid w:val="007B7573"/>
    <w:rsid w:val="007E01CA"/>
    <w:rsid w:val="007E0238"/>
    <w:rsid w:val="007E533D"/>
    <w:rsid w:val="007E61B4"/>
    <w:rsid w:val="007E7B66"/>
    <w:rsid w:val="007F0074"/>
    <w:rsid w:val="007F060E"/>
    <w:rsid w:val="008018DA"/>
    <w:rsid w:val="00802B44"/>
    <w:rsid w:val="008046CA"/>
    <w:rsid w:val="00804850"/>
    <w:rsid w:val="0081111A"/>
    <w:rsid w:val="00811136"/>
    <w:rsid w:val="008116C7"/>
    <w:rsid w:val="00812A9F"/>
    <w:rsid w:val="00813921"/>
    <w:rsid w:val="00817F21"/>
    <w:rsid w:val="00822D5F"/>
    <w:rsid w:val="00823660"/>
    <w:rsid w:val="00825D08"/>
    <w:rsid w:val="00830F31"/>
    <w:rsid w:val="00832F25"/>
    <w:rsid w:val="00835B79"/>
    <w:rsid w:val="0083710F"/>
    <w:rsid w:val="00841265"/>
    <w:rsid w:val="008420A3"/>
    <w:rsid w:val="00842B95"/>
    <w:rsid w:val="008439B7"/>
    <w:rsid w:val="00844E39"/>
    <w:rsid w:val="008471F0"/>
    <w:rsid w:val="00851EB4"/>
    <w:rsid w:val="008549E0"/>
    <w:rsid w:val="00856555"/>
    <w:rsid w:val="0086051C"/>
    <w:rsid w:val="00863020"/>
    <w:rsid w:val="008702E5"/>
    <w:rsid w:val="00873EB7"/>
    <w:rsid w:val="008768D5"/>
    <w:rsid w:val="008773D0"/>
    <w:rsid w:val="00886256"/>
    <w:rsid w:val="00887818"/>
    <w:rsid w:val="008903B8"/>
    <w:rsid w:val="0089092B"/>
    <w:rsid w:val="00890D26"/>
    <w:rsid w:val="00891672"/>
    <w:rsid w:val="00891E22"/>
    <w:rsid w:val="008949BE"/>
    <w:rsid w:val="00895164"/>
    <w:rsid w:val="008A0D63"/>
    <w:rsid w:val="008A6324"/>
    <w:rsid w:val="008A6AB4"/>
    <w:rsid w:val="008A7EFF"/>
    <w:rsid w:val="008B28C7"/>
    <w:rsid w:val="008B7A54"/>
    <w:rsid w:val="008B7AB8"/>
    <w:rsid w:val="008D21DF"/>
    <w:rsid w:val="008D3227"/>
    <w:rsid w:val="008D47BE"/>
    <w:rsid w:val="008D6158"/>
    <w:rsid w:val="008D6679"/>
    <w:rsid w:val="008D78C0"/>
    <w:rsid w:val="008E194E"/>
    <w:rsid w:val="0090117D"/>
    <w:rsid w:val="009016B5"/>
    <w:rsid w:val="00901BD4"/>
    <w:rsid w:val="00901D90"/>
    <w:rsid w:val="0090254D"/>
    <w:rsid w:val="0091079C"/>
    <w:rsid w:val="00910DF4"/>
    <w:rsid w:val="009128AD"/>
    <w:rsid w:val="00913B0B"/>
    <w:rsid w:val="0091421F"/>
    <w:rsid w:val="00915E5F"/>
    <w:rsid w:val="00920B47"/>
    <w:rsid w:val="00922EA4"/>
    <w:rsid w:val="00926D0A"/>
    <w:rsid w:val="0094452A"/>
    <w:rsid w:val="0094716D"/>
    <w:rsid w:val="0095409B"/>
    <w:rsid w:val="00956BC1"/>
    <w:rsid w:val="00957187"/>
    <w:rsid w:val="009576B2"/>
    <w:rsid w:val="00957FA6"/>
    <w:rsid w:val="00974261"/>
    <w:rsid w:val="00977A31"/>
    <w:rsid w:val="0098587A"/>
    <w:rsid w:val="00992904"/>
    <w:rsid w:val="00995D78"/>
    <w:rsid w:val="009A2FEA"/>
    <w:rsid w:val="009B27D6"/>
    <w:rsid w:val="009B34B5"/>
    <w:rsid w:val="009B3BA0"/>
    <w:rsid w:val="009B5C2A"/>
    <w:rsid w:val="009C4808"/>
    <w:rsid w:val="009E1ED1"/>
    <w:rsid w:val="009E2D12"/>
    <w:rsid w:val="009F2FAD"/>
    <w:rsid w:val="009F3258"/>
    <w:rsid w:val="009F446C"/>
    <w:rsid w:val="009F5BF2"/>
    <w:rsid w:val="009F71EB"/>
    <w:rsid w:val="009F79F1"/>
    <w:rsid w:val="00A03F74"/>
    <w:rsid w:val="00A06962"/>
    <w:rsid w:val="00A06CDB"/>
    <w:rsid w:val="00A06FFD"/>
    <w:rsid w:val="00A07A47"/>
    <w:rsid w:val="00A100CD"/>
    <w:rsid w:val="00A14EAD"/>
    <w:rsid w:val="00A213F7"/>
    <w:rsid w:val="00A23663"/>
    <w:rsid w:val="00A24EDE"/>
    <w:rsid w:val="00A30FD7"/>
    <w:rsid w:val="00A36085"/>
    <w:rsid w:val="00A37411"/>
    <w:rsid w:val="00A37E41"/>
    <w:rsid w:val="00A4296D"/>
    <w:rsid w:val="00A561EB"/>
    <w:rsid w:val="00A6012E"/>
    <w:rsid w:val="00A64C34"/>
    <w:rsid w:val="00A72584"/>
    <w:rsid w:val="00A80B3A"/>
    <w:rsid w:val="00A82D73"/>
    <w:rsid w:val="00A83472"/>
    <w:rsid w:val="00A90557"/>
    <w:rsid w:val="00A90EB0"/>
    <w:rsid w:val="00A93571"/>
    <w:rsid w:val="00A96F44"/>
    <w:rsid w:val="00AA0F4D"/>
    <w:rsid w:val="00AA227C"/>
    <w:rsid w:val="00AA2375"/>
    <w:rsid w:val="00AA4FA1"/>
    <w:rsid w:val="00AB4ABD"/>
    <w:rsid w:val="00AB7BED"/>
    <w:rsid w:val="00AC7078"/>
    <w:rsid w:val="00AD141C"/>
    <w:rsid w:val="00AD42A9"/>
    <w:rsid w:val="00AD4321"/>
    <w:rsid w:val="00AD481F"/>
    <w:rsid w:val="00AE07FB"/>
    <w:rsid w:val="00AE5EE8"/>
    <w:rsid w:val="00AF0E7B"/>
    <w:rsid w:val="00AF1040"/>
    <w:rsid w:val="00AF4E9C"/>
    <w:rsid w:val="00AF7995"/>
    <w:rsid w:val="00B000C2"/>
    <w:rsid w:val="00B05492"/>
    <w:rsid w:val="00B06458"/>
    <w:rsid w:val="00B140E0"/>
    <w:rsid w:val="00B1667F"/>
    <w:rsid w:val="00B20110"/>
    <w:rsid w:val="00B208F1"/>
    <w:rsid w:val="00B219B8"/>
    <w:rsid w:val="00B223E8"/>
    <w:rsid w:val="00B24F5B"/>
    <w:rsid w:val="00B32AB4"/>
    <w:rsid w:val="00B3365E"/>
    <w:rsid w:val="00B40616"/>
    <w:rsid w:val="00B46DEE"/>
    <w:rsid w:val="00B50C59"/>
    <w:rsid w:val="00B52A9D"/>
    <w:rsid w:val="00B53AC5"/>
    <w:rsid w:val="00B6049B"/>
    <w:rsid w:val="00B635A6"/>
    <w:rsid w:val="00B63B1B"/>
    <w:rsid w:val="00B64B8D"/>
    <w:rsid w:val="00B7025B"/>
    <w:rsid w:val="00B71BDC"/>
    <w:rsid w:val="00B77F88"/>
    <w:rsid w:val="00B80076"/>
    <w:rsid w:val="00B8585B"/>
    <w:rsid w:val="00B931B0"/>
    <w:rsid w:val="00B950B8"/>
    <w:rsid w:val="00B962AF"/>
    <w:rsid w:val="00BA27E1"/>
    <w:rsid w:val="00BC11F0"/>
    <w:rsid w:val="00BC246A"/>
    <w:rsid w:val="00BD5798"/>
    <w:rsid w:val="00BE427E"/>
    <w:rsid w:val="00BF04D4"/>
    <w:rsid w:val="00BF069F"/>
    <w:rsid w:val="00BF1E27"/>
    <w:rsid w:val="00BF6024"/>
    <w:rsid w:val="00BF75CD"/>
    <w:rsid w:val="00BF7968"/>
    <w:rsid w:val="00C01CD7"/>
    <w:rsid w:val="00C12951"/>
    <w:rsid w:val="00C132A4"/>
    <w:rsid w:val="00C15CA7"/>
    <w:rsid w:val="00C168B5"/>
    <w:rsid w:val="00C21337"/>
    <w:rsid w:val="00C22362"/>
    <w:rsid w:val="00C24F17"/>
    <w:rsid w:val="00C24F8D"/>
    <w:rsid w:val="00C2537E"/>
    <w:rsid w:val="00C26221"/>
    <w:rsid w:val="00C26711"/>
    <w:rsid w:val="00C27612"/>
    <w:rsid w:val="00C32939"/>
    <w:rsid w:val="00C33E2F"/>
    <w:rsid w:val="00C37637"/>
    <w:rsid w:val="00C42B43"/>
    <w:rsid w:val="00C441CC"/>
    <w:rsid w:val="00C45005"/>
    <w:rsid w:val="00C469C9"/>
    <w:rsid w:val="00C50101"/>
    <w:rsid w:val="00C510E3"/>
    <w:rsid w:val="00C53791"/>
    <w:rsid w:val="00C57411"/>
    <w:rsid w:val="00C61AA1"/>
    <w:rsid w:val="00C627F9"/>
    <w:rsid w:val="00C743BB"/>
    <w:rsid w:val="00C80618"/>
    <w:rsid w:val="00C834A5"/>
    <w:rsid w:val="00C83C37"/>
    <w:rsid w:val="00C86A44"/>
    <w:rsid w:val="00C943FD"/>
    <w:rsid w:val="00CA057D"/>
    <w:rsid w:val="00CA2A3C"/>
    <w:rsid w:val="00CA6ED3"/>
    <w:rsid w:val="00CB1B30"/>
    <w:rsid w:val="00CB26B6"/>
    <w:rsid w:val="00CB3130"/>
    <w:rsid w:val="00CC4350"/>
    <w:rsid w:val="00CC7415"/>
    <w:rsid w:val="00CD0AC8"/>
    <w:rsid w:val="00CD2AA9"/>
    <w:rsid w:val="00CE2C12"/>
    <w:rsid w:val="00CE4332"/>
    <w:rsid w:val="00CE46C1"/>
    <w:rsid w:val="00CE6C4D"/>
    <w:rsid w:val="00CF30AA"/>
    <w:rsid w:val="00D04901"/>
    <w:rsid w:val="00D126B5"/>
    <w:rsid w:val="00D224F9"/>
    <w:rsid w:val="00D24FD5"/>
    <w:rsid w:val="00D351D4"/>
    <w:rsid w:val="00D371E8"/>
    <w:rsid w:val="00D42E3E"/>
    <w:rsid w:val="00D45CD4"/>
    <w:rsid w:val="00D64ACA"/>
    <w:rsid w:val="00D719A5"/>
    <w:rsid w:val="00D71B43"/>
    <w:rsid w:val="00D756FB"/>
    <w:rsid w:val="00D75E08"/>
    <w:rsid w:val="00D85532"/>
    <w:rsid w:val="00D87FC1"/>
    <w:rsid w:val="00D94030"/>
    <w:rsid w:val="00D948CC"/>
    <w:rsid w:val="00D95F04"/>
    <w:rsid w:val="00D9707E"/>
    <w:rsid w:val="00D97DDA"/>
    <w:rsid w:val="00D97E1D"/>
    <w:rsid w:val="00DA32DC"/>
    <w:rsid w:val="00DA4B81"/>
    <w:rsid w:val="00DA59EA"/>
    <w:rsid w:val="00DA604D"/>
    <w:rsid w:val="00DB379E"/>
    <w:rsid w:val="00DB3C19"/>
    <w:rsid w:val="00DC2B09"/>
    <w:rsid w:val="00DC3475"/>
    <w:rsid w:val="00DC7FBA"/>
    <w:rsid w:val="00DD042F"/>
    <w:rsid w:val="00DD259E"/>
    <w:rsid w:val="00DD2617"/>
    <w:rsid w:val="00DD353C"/>
    <w:rsid w:val="00DD617C"/>
    <w:rsid w:val="00DE17E8"/>
    <w:rsid w:val="00DE3F10"/>
    <w:rsid w:val="00DE553A"/>
    <w:rsid w:val="00DE7147"/>
    <w:rsid w:val="00DF30B6"/>
    <w:rsid w:val="00DF4147"/>
    <w:rsid w:val="00E02B92"/>
    <w:rsid w:val="00E101C6"/>
    <w:rsid w:val="00E110D4"/>
    <w:rsid w:val="00E13E23"/>
    <w:rsid w:val="00E20E24"/>
    <w:rsid w:val="00E2428A"/>
    <w:rsid w:val="00E3081B"/>
    <w:rsid w:val="00E37329"/>
    <w:rsid w:val="00E377B4"/>
    <w:rsid w:val="00E46E40"/>
    <w:rsid w:val="00E507CC"/>
    <w:rsid w:val="00E51E3F"/>
    <w:rsid w:val="00E522A3"/>
    <w:rsid w:val="00E616F6"/>
    <w:rsid w:val="00E62ABA"/>
    <w:rsid w:val="00E67B35"/>
    <w:rsid w:val="00E72D4C"/>
    <w:rsid w:val="00E80559"/>
    <w:rsid w:val="00E8376E"/>
    <w:rsid w:val="00E83808"/>
    <w:rsid w:val="00E85904"/>
    <w:rsid w:val="00E923ED"/>
    <w:rsid w:val="00E92FC1"/>
    <w:rsid w:val="00EA09B3"/>
    <w:rsid w:val="00EA3BC3"/>
    <w:rsid w:val="00EA66B8"/>
    <w:rsid w:val="00EB1197"/>
    <w:rsid w:val="00EB3852"/>
    <w:rsid w:val="00EB4B6A"/>
    <w:rsid w:val="00EB58F5"/>
    <w:rsid w:val="00EB5E2E"/>
    <w:rsid w:val="00EC3B52"/>
    <w:rsid w:val="00ED2681"/>
    <w:rsid w:val="00ED2E6C"/>
    <w:rsid w:val="00ED5704"/>
    <w:rsid w:val="00EE197F"/>
    <w:rsid w:val="00EE493E"/>
    <w:rsid w:val="00EE5283"/>
    <w:rsid w:val="00EE5946"/>
    <w:rsid w:val="00EF4B9E"/>
    <w:rsid w:val="00F0048B"/>
    <w:rsid w:val="00F07047"/>
    <w:rsid w:val="00F07240"/>
    <w:rsid w:val="00F07369"/>
    <w:rsid w:val="00F10E99"/>
    <w:rsid w:val="00F225D9"/>
    <w:rsid w:val="00F23436"/>
    <w:rsid w:val="00F247F3"/>
    <w:rsid w:val="00F32A18"/>
    <w:rsid w:val="00F33BB0"/>
    <w:rsid w:val="00F35845"/>
    <w:rsid w:val="00F35AC9"/>
    <w:rsid w:val="00F37F72"/>
    <w:rsid w:val="00F465BD"/>
    <w:rsid w:val="00F47208"/>
    <w:rsid w:val="00F5180F"/>
    <w:rsid w:val="00F51D41"/>
    <w:rsid w:val="00F5378E"/>
    <w:rsid w:val="00F57ACB"/>
    <w:rsid w:val="00F6055F"/>
    <w:rsid w:val="00F60F76"/>
    <w:rsid w:val="00F61011"/>
    <w:rsid w:val="00F6151A"/>
    <w:rsid w:val="00F620DA"/>
    <w:rsid w:val="00F66019"/>
    <w:rsid w:val="00F7067C"/>
    <w:rsid w:val="00F72A4D"/>
    <w:rsid w:val="00F72B23"/>
    <w:rsid w:val="00F72D23"/>
    <w:rsid w:val="00F753F3"/>
    <w:rsid w:val="00F875C3"/>
    <w:rsid w:val="00F940D9"/>
    <w:rsid w:val="00FB0378"/>
    <w:rsid w:val="00FB392F"/>
    <w:rsid w:val="00FB577C"/>
    <w:rsid w:val="00FC1F0D"/>
    <w:rsid w:val="00FC6888"/>
    <w:rsid w:val="00FC7853"/>
    <w:rsid w:val="00FD128E"/>
    <w:rsid w:val="00FD37BC"/>
    <w:rsid w:val="00FD48F0"/>
    <w:rsid w:val="00FD5947"/>
    <w:rsid w:val="00FE1FC6"/>
    <w:rsid w:val="00FF011E"/>
    <w:rsid w:val="00FF0DAA"/>
    <w:rsid w:val="00FF32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ABFF3B"/>
  <w15:docId w15:val="{C3C2C09A-F1AF-449A-9741-9BAB0DA3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5460"/>
    <w:rPr>
      <w:sz w:val="24"/>
    </w:rPr>
  </w:style>
  <w:style w:type="paragraph" w:styleId="Titolo1">
    <w:name w:val="heading 1"/>
    <w:basedOn w:val="Normale"/>
    <w:next w:val="Normale"/>
    <w:qFormat/>
    <w:rsid w:val="002A5460"/>
    <w:pPr>
      <w:keepNext/>
      <w:widowControl w:val="0"/>
      <w:spacing w:line="240" w:lineRule="exact"/>
      <w:jc w:val="center"/>
      <w:outlineLvl w:val="0"/>
    </w:pPr>
    <w:rPr>
      <w:rFonts w:ascii="Arial" w:hAnsi="Arial"/>
      <w:b/>
    </w:rPr>
  </w:style>
  <w:style w:type="paragraph" w:styleId="Titolo3">
    <w:name w:val="heading 3"/>
    <w:basedOn w:val="Normale"/>
    <w:next w:val="Normale"/>
    <w:link w:val="Titolo3Carattere"/>
    <w:qFormat/>
    <w:rsid w:val="002A5460"/>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2A5460"/>
    <w:pPr>
      <w:keepNext/>
      <w:widowControl w:val="0"/>
      <w:spacing w:before="80"/>
      <w:jc w:val="both"/>
      <w:outlineLvl w:val="3"/>
    </w:pPr>
    <w:rPr>
      <w:rFonts w:ascii="Arial" w:hAnsi="Arial"/>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2A5460"/>
    <w:pPr>
      <w:widowControl w:val="0"/>
      <w:spacing w:before="80"/>
      <w:jc w:val="both"/>
    </w:pPr>
    <w:rPr>
      <w:rFonts w:ascii="Arial" w:hAnsi="Arial"/>
    </w:rPr>
  </w:style>
  <w:style w:type="paragraph" w:styleId="Pidipagina">
    <w:name w:val="footer"/>
    <w:basedOn w:val="Normale"/>
    <w:rsid w:val="002A5460"/>
    <w:pPr>
      <w:tabs>
        <w:tab w:val="center" w:pos="4819"/>
        <w:tab w:val="right" w:pos="9638"/>
      </w:tabs>
    </w:pPr>
  </w:style>
  <w:style w:type="character" w:styleId="Numeropagina">
    <w:name w:val="page number"/>
    <w:basedOn w:val="Carpredefinitoparagrafo"/>
    <w:rsid w:val="002A5460"/>
  </w:style>
  <w:style w:type="paragraph" w:styleId="Intestazione">
    <w:name w:val="header"/>
    <w:basedOn w:val="Normale"/>
    <w:rsid w:val="002A5460"/>
    <w:pPr>
      <w:tabs>
        <w:tab w:val="center" w:pos="4819"/>
        <w:tab w:val="right" w:pos="9638"/>
      </w:tabs>
    </w:pPr>
  </w:style>
  <w:style w:type="paragraph" w:styleId="Rientrocorpodeltesto3">
    <w:name w:val="Body Text Indent 3"/>
    <w:basedOn w:val="Normale"/>
    <w:rsid w:val="00957187"/>
    <w:pPr>
      <w:spacing w:after="120"/>
      <w:ind w:left="283"/>
    </w:pPr>
    <w:rPr>
      <w:sz w:val="16"/>
      <w:szCs w:val="16"/>
    </w:rPr>
  </w:style>
  <w:style w:type="paragraph" w:styleId="Testofumetto">
    <w:name w:val="Balloon Text"/>
    <w:basedOn w:val="Normale"/>
    <w:semiHidden/>
    <w:rsid w:val="00F51D41"/>
    <w:rPr>
      <w:rFonts w:ascii="Tahoma" w:hAnsi="Tahoma" w:cs="Tahoma"/>
      <w:sz w:val="16"/>
      <w:szCs w:val="16"/>
    </w:rPr>
  </w:style>
  <w:style w:type="character" w:styleId="Rimandocommento">
    <w:name w:val="annotation reference"/>
    <w:rsid w:val="008B7A54"/>
    <w:rPr>
      <w:sz w:val="16"/>
      <w:szCs w:val="16"/>
    </w:rPr>
  </w:style>
  <w:style w:type="paragraph" w:styleId="Testocommento">
    <w:name w:val="annotation text"/>
    <w:basedOn w:val="Normale"/>
    <w:link w:val="TestocommentoCarattere"/>
    <w:rsid w:val="008B7A54"/>
    <w:rPr>
      <w:sz w:val="20"/>
    </w:rPr>
  </w:style>
  <w:style w:type="paragraph" w:styleId="Soggettocommento">
    <w:name w:val="annotation subject"/>
    <w:basedOn w:val="Testocommento"/>
    <w:next w:val="Testocommento"/>
    <w:semiHidden/>
    <w:rsid w:val="008B7A54"/>
    <w:rPr>
      <w:b/>
      <w:bCs/>
    </w:rPr>
  </w:style>
  <w:style w:type="paragraph" w:styleId="Puntoelenco">
    <w:name w:val="List Bullet"/>
    <w:basedOn w:val="Normale"/>
    <w:rsid w:val="0038275C"/>
    <w:pPr>
      <w:numPr>
        <w:numId w:val="2"/>
      </w:numPr>
      <w:contextualSpacing/>
    </w:pPr>
  </w:style>
  <w:style w:type="character" w:styleId="Collegamentoipertestuale">
    <w:name w:val="Hyperlink"/>
    <w:uiPriority w:val="99"/>
    <w:rsid w:val="00061B16"/>
    <w:rPr>
      <w:color w:val="0000FF"/>
      <w:u w:val="single"/>
    </w:rPr>
  </w:style>
  <w:style w:type="character" w:customStyle="1" w:styleId="st">
    <w:name w:val="st"/>
    <w:rsid w:val="00765BE1"/>
  </w:style>
  <w:style w:type="paragraph" w:customStyle="1" w:styleId="Corpotesto1">
    <w:name w:val="Corpo testo1"/>
    <w:basedOn w:val="Normale"/>
    <w:link w:val="CorpotestoCarattere"/>
    <w:rsid w:val="00886256"/>
    <w:pPr>
      <w:spacing w:after="120"/>
    </w:pPr>
  </w:style>
  <w:style w:type="character" w:customStyle="1" w:styleId="CorpotestoCarattere">
    <w:name w:val="Corpo testo Carattere"/>
    <w:link w:val="Corpotesto1"/>
    <w:rsid w:val="00886256"/>
    <w:rPr>
      <w:sz w:val="24"/>
    </w:rPr>
  </w:style>
  <w:style w:type="paragraph" w:customStyle="1" w:styleId="Default">
    <w:name w:val="Default"/>
    <w:rsid w:val="00AF1040"/>
    <w:pPr>
      <w:autoSpaceDE w:val="0"/>
      <w:autoSpaceDN w:val="0"/>
      <w:adjustRightInd w:val="0"/>
    </w:pPr>
    <w:rPr>
      <w:color w:val="000000"/>
      <w:sz w:val="24"/>
      <w:szCs w:val="24"/>
    </w:rPr>
  </w:style>
  <w:style w:type="character" w:customStyle="1" w:styleId="TestocommentoCarattere">
    <w:name w:val="Testo commento Carattere"/>
    <w:link w:val="Testocommento"/>
    <w:rsid w:val="00CE4332"/>
  </w:style>
  <w:style w:type="paragraph" w:customStyle="1" w:styleId="testonotadichiusura">
    <w:name w:val="testo nota di chiusura"/>
    <w:basedOn w:val="Normale"/>
    <w:uiPriority w:val="99"/>
    <w:rsid w:val="00CE4332"/>
    <w:pPr>
      <w:tabs>
        <w:tab w:val="left" w:pos="567"/>
      </w:tabs>
    </w:pPr>
    <w:rPr>
      <w:rFonts w:eastAsia="Calibri"/>
      <w:sz w:val="22"/>
      <w:lang w:val="en-GB"/>
    </w:rPr>
  </w:style>
  <w:style w:type="character" w:styleId="Enfasigrassetto">
    <w:name w:val="Strong"/>
    <w:uiPriority w:val="99"/>
    <w:qFormat/>
    <w:rsid w:val="00AA227C"/>
    <w:rPr>
      <w:rFonts w:cs="Times New Roman"/>
      <w:b/>
      <w:bCs/>
    </w:rPr>
  </w:style>
  <w:style w:type="character" w:customStyle="1" w:styleId="apple-converted-space">
    <w:name w:val="apple-converted-space"/>
    <w:uiPriority w:val="99"/>
    <w:rsid w:val="00192BB0"/>
    <w:rPr>
      <w:rFonts w:cs="Times New Roman"/>
    </w:rPr>
  </w:style>
  <w:style w:type="table" w:styleId="Grigliatabella">
    <w:name w:val="Table Grid"/>
    <w:basedOn w:val="Tabellanormale"/>
    <w:rsid w:val="0048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semiHidden/>
    <w:unhideWhenUsed/>
    <w:rsid w:val="00C441CC"/>
    <w:pPr>
      <w:spacing w:after="120"/>
      <w:ind w:left="283"/>
    </w:pPr>
  </w:style>
  <w:style w:type="character" w:customStyle="1" w:styleId="RientrocorpodeltestoCarattere">
    <w:name w:val="Rientro corpo del testo Carattere"/>
    <w:basedOn w:val="Carpredefinitoparagrafo"/>
    <w:link w:val="Rientrocorpodeltesto"/>
    <w:semiHidden/>
    <w:rsid w:val="00C441CC"/>
    <w:rPr>
      <w:sz w:val="24"/>
    </w:rPr>
  </w:style>
  <w:style w:type="paragraph" w:styleId="Paragrafoelenco">
    <w:name w:val="List Paragraph"/>
    <w:basedOn w:val="Normale"/>
    <w:uiPriority w:val="34"/>
    <w:qFormat/>
    <w:rsid w:val="00C441CC"/>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e">
    <w:name w:val="Revision"/>
    <w:hidden/>
    <w:uiPriority w:val="99"/>
    <w:semiHidden/>
    <w:rsid w:val="00023449"/>
    <w:rPr>
      <w:sz w:val="24"/>
    </w:rPr>
  </w:style>
  <w:style w:type="character" w:customStyle="1" w:styleId="Titolo3Carattere">
    <w:name w:val="Titolo 3 Carattere"/>
    <w:basedOn w:val="Carpredefinitoparagrafo"/>
    <w:link w:val="Titolo3"/>
    <w:rsid w:val="0062135B"/>
    <w:rPr>
      <w:rFonts w:ascii="Arial" w:hAnsi="Arial" w:cs="Arial"/>
      <w:b/>
      <w:bCs/>
      <w:sz w:val="26"/>
      <w:szCs w:val="26"/>
    </w:rPr>
  </w:style>
  <w:style w:type="character" w:customStyle="1" w:styleId="Titolo4Carattere">
    <w:name w:val="Titolo 4 Carattere"/>
    <w:basedOn w:val="Carpredefinitoparagrafo"/>
    <w:link w:val="Titolo4"/>
    <w:rsid w:val="0062135B"/>
    <w:rPr>
      <w:rFonts w:ascii="Arial" w:hAnsi="Arial"/>
      <w:b/>
      <w:sz w:val="24"/>
      <w:u w:val="single"/>
    </w:rPr>
  </w:style>
  <w:style w:type="character" w:customStyle="1" w:styleId="Corpodeltesto2Carattere">
    <w:name w:val="Corpo del testo 2 Carattere"/>
    <w:basedOn w:val="Carpredefinitoparagrafo"/>
    <w:link w:val="Corpodeltesto2"/>
    <w:rsid w:val="0062135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7455">
      <w:bodyDiv w:val="1"/>
      <w:marLeft w:val="0"/>
      <w:marRight w:val="0"/>
      <w:marTop w:val="0"/>
      <w:marBottom w:val="0"/>
      <w:divBdr>
        <w:top w:val="none" w:sz="0" w:space="0" w:color="auto"/>
        <w:left w:val="none" w:sz="0" w:space="0" w:color="auto"/>
        <w:bottom w:val="none" w:sz="0" w:space="0" w:color="auto"/>
        <w:right w:val="none" w:sz="0" w:space="0" w:color="auto"/>
      </w:divBdr>
    </w:div>
    <w:div w:id="458956335">
      <w:bodyDiv w:val="1"/>
      <w:marLeft w:val="0"/>
      <w:marRight w:val="0"/>
      <w:marTop w:val="0"/>
      <w:marBottom w:val="0"/>
      <w:divBdr>
        <w:top w:val="none" w:sz="0" w:space="0" w:color="auto"/>
        <w:left w:val="none" w:sz="0" w:space="0" w:color="auto"/>
        <w:bottom w:val="none" w:sz="0" w:space="0" w:color="auto"/>
        <w:right w:val="none" w:sz="0" w:space="0" w:color="auto"/>
      </w:divBdr>
    </w:div>
    <w:div w:id="16734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D9F9D-4943-4C2A-9411-A546819C691D}">
  <ds:schemaRefs>
    <ds:schemaRef ds:uri="http://schemas.openxmlformats.org/officeDocument/2006/bibliography"/>
  </ds:schemaRefs>
</ds:datastoreItem>
</file>

<file path=docMetadata/LabelInfo.xml><?xml version="1.0" encoding="utf-8"?>
<clbl:labelList xmlns:clbl="http://schemas.microsoft.com/office/2020/mipLabelMetadata">
  <clbl:label id="{db926e78-1a6f-4a34-b1bd-e9af6ea675de}" enabled="0" method="" siteId="{db926e78-1a6f-4a34-b1bd-e9af6ea675de}"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2691</Words>
  <Characters>16110</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PRIMA DELL’USO</vt:lpstr>
    </vt:vector>
  </TitlesOfParts>
  <Company>A.C.R.A.F. S.p.A.</Company>
  <LinksUpToDate>false</LinksUpToDate>
  <CharactersWithSpaces>18764</CharactersWithSpaces>
  <SharedDoc>false</SharedDoc>
  <HLinks>
    <vt:vector size="6" baseType="variant">
      <vt:variant>
        <vt:i4>1835034</vt:i4>
      </vt:variant>
      <vt:variant>
        <vt:i4>3</vt:i4>
      </vt:variant>
      <vt:variant>
        <vt:i4>0</vt:i4>
      </vt:variant>
      <vt:variant>
        <vt:i4>5</vt:i4>
      </vt:variant>
      <vt:variant>
        <vt:lpwstr>http://www.agenziafarmaco.gov.it/it/responsabili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 DELL’USO</dc:title>
  <dc:subject/>
  <dc:creator>ACRAF S.p.A.</dc:creator>
  <cp:keywords/>
  <cp:lastModifiedBy>Fornicoli Silvia</cp:lastModifiedBy>
  <cp:revision>3</cp:revision>
  <cp:lastPrinted>2016-12-20T09:43:00Z</cp:lastPrinted>
  <dcterms:created xsi:type="dcterms:W3CDTF">2025-11-21T15:59:00Z</dcterms:created>
  <dcterms:modified xsi:type="dcterms:W3CDTF">2025-11-21T15:59:00Z</dcterms:modified>
</cp:coreProperties>
</file>